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5AFAB" w14:textId="0DCAD98B" w:rsidR="003F35BA" w:rsidRPr="00211225" w:rsidRDefault="003F35BA" w:rsidP="003F35BA">
      <w:pPr>
        <w:jc w:val="center"/>
      </w:pPr>
      <w:r w:rsidRPr="00211225">
        <w:rPr>
          <w:rFonts w:hint="eastAsia"/>
        </w:rPr>
        <w:t>都城市</w:t>
      </w:r>
      <w:r w:rsidR="001A3613" w:rsidRPr="00211225">
        <w:rPr>
          <w:rFonts w:hint="eastAsia"/>
        </w:rPr>
        <w:t>における</w:t>
      </w:r>
      <w:r w:rsidRPr="00211225">
        <w:rPr>
          <w:rFonts w:hint="eastAsia"/>
        </w:rPr>
        <w:t>木材利用の促進に関する方針（案）</w:t>
      </w:r>
    </w:p>
    <w:p w14:paraId="71512B87" w14:textId="77777777" w:rsidR="00A538DB" w:rsidRPr="00211225" w:rsidRDefault="00A538DB" w:rsidP="003F35BA">
      <w:pPr>
        <w:jc w:val="center"/>
      </w:pPr>
    </w:p>
    <w:p w14:paraId="51FFD646" w14:textId="77777777" w:rsidR="003F35BA" w:rsidRPr="00211225" w:rsidRDefault="003F35BA" w:rsidP="003F35BA">
      <w:pPr>
        <w:jc w:val="right"/>
      </w:pPr>
      <w:r w:rsidRPr="00211225">
        <w:rPr>
          <w:rFonts w:hint="eastAsia"/>
        </w:rPr>
        <w:t>平成２４年　１月１１日　　策定</w:t>
      </w:r>
    </w:p>
    <w:p w14:paraId="5ECC1B90" w14:textId="77777777" w:rsidR="00FA2388" w:rsidRPr="00211225" w:rsidRDefault="003F35BA" w:rsidP="003F35BA">
      <w:pPr>
        <w:jc w:val="right"/>
      </w:pPr>
      <w:r w:rsidRPr="00211225">
        <w:rPr>
          <w:rFonts w:hint="eastAsia"/>
        </w:rPr>
        <w:t>令和　６年　　月　　日一部改正</w:t>
      </w:r>
    </w:p>
    <w:p w14:paraId="574A3EE0" w14:textId="77777777" w:rsidR="003F35BA" w:rsidRPr="00211225" w:rsidRDefault="003F35BA" w:rsidP="003F35BA"/>
    <w:p w14:paraId="565AEFDD" w14:textId="77777777" w:rsidR="003F35BA" w:rsidRPr="00211225" w:rsidRDefault="003F35BA" w:rsidP="003F35BA">
      <w:pPr>
        <w:rPr>
          <w:b/>
        </w:rPr>
      </w:pPr>
      <w:r w:rsidRPr="00211225">
        <w:rPr>
          <w:rFonts w:hint="eastAsia"/>
          <w:b/>
        </w:rPr>
        <w:t>１　基本的な考え方</w:t>
      </w:r>
    </w:p>
    <w:p w14:paraId="79B0DEFA" w14:textId="79C82E79" w:rsidR="003F35BA" w:rsidRPr="00FF6F16" w:rsidRDefault="00951F4B" w:rsidP="00951F4B">
      <w:pPr>
        <w:ind w:firstLineChars="100" w:firstLine="210"/>
      </w:pPr>
      <w:r w:rsidRPr="00FF6F16">
        <w:rPr>
          <w:rFonts w:hint="eastAsia"/>
        </w:rPr>
        <w:t>本</w:t>
      </w:r>
      <w:r w:rsidR="003F35BA" w:rsidRPr="00FF6F16">
        <w:rPr>
          <w:rFonts w:hint="eastAsia"/>
        </w:rPr>
        <w:t>市の総面積は</w:t>
      </w:r>
      <w:r w:rsidR="00FC6D64" w:rsidRPr="00FF6F16">
        <w:rPr>
          <w:rFonts w:hint="eastAsia"/>
        </w:rPr>
        <w:t>約</w:t>
      </w:r>
      <w:r w:rsidR="00EF04D1" w:rsidRPr="00FF6F16">
        <w:rPr>
          <w:rFonts w:hint="eastAsia"/>
        </w:rPr>
        <w:t>6</w:t>
      </w:r>
      <w:r w:rsidR="00EF04D1" w:rsidRPr="00FF6F16">
        <w:t>5,336</w:t>
      </w:r>
      <w:r w:rsidRPr="00FF6F16">
        <w:rPr>
          <w:rFonts w:hint="eastAsia"/>
        </w:rPr>
        <w:t>ha</w:t>
      </w:r>
      <w:r w:rsidR="003F35BA" w:rsidRPr="00FF6F16">
        <w:rPr>
          <w:rFonts w:hint="eastAsia"/>
        </w:rPr>
        <w:t>で、そのうち森林面積は全体の</w:t>
      </w:r>
      <w:r w:rsidRPr="00FF6F16">
        <w:rPr>
          <w:rFonts w:hint="eastAsia"/>
        </w:rPr>
        <w:t>約５５</w:t>
      </w:r>
      <w:r w:rsidR="003F35BA" w:rsidRPr="00FF6F16">
        <w:rPr>
          <w:rFonts w:hint="eastAsia"/>
        </w:rPr>
        <w:t>％にあたる</w:t>
      </w:r>
      <w:r w:rsidR="00EF04D1" w:rsidRPr="00FF6F16">
        <w:rPr>
          <w:rFonts w:hint="eastAsia"/>
        </w:rPr>
        <w:t>36,186</w:t>
      </w:r>
      <w:r w:rsidR="003F35BA" w:rsidRPr="00FF6F16">
        <w:rPr>
          <w:rFonts w:hint="eastAsia"/>
        </w:rPr>
        <w:t>ha</w:t>
      </w:r>
      <w:r w:rsidR="003F35BA" w:rsidRPr="00FF6F16">
        <w:rPr>
          <w:rFonts w:hint="eastAsia"/>
        </w:rPr>
        <w:t>である。</w:t>
      </w:r>
    </w:p>
    <w:p w14:paraId="11671A07" w14:textId="77777777" w:rsidR="003F35BA" w:rsidRPr="00FF6F16" w:rsidRDefault="003F35BA" w:rsidP="00951F4B">
      <w:pPr>
        <w:ind w:firstLineChars="100" w:firstLine="210"/>
      </w:pPr>
      <w:r w:rsidRPr="00FF6F16">
        <w:rPr>
          <w:rFonts w:hint="eastAsia"/>
        </w:rPr>
        <w:t>また、戦後の拡大造林の推進により、標準伐期に達した人工林が</w:t>
      </w:r>
      <w:r w:rsidR="00951F4B" w:rsidRPr="00FF6F16">
        <w:rPr>
          <w:rFonts w:hint="eastAsia"/>
        </w:rPr>
        <w:t>８</w:t>
      </w:r>
      <w:r w:rsidRPr="00FF6F16">
        <w:rPr>
          <w:rFonts w:hint="eastAsia"/>
        </w:rPr>
        <w:t>割を占め、製材面では約</w:t>
      </w:r>
      <w:r w:rsidR="00951F4B" w:rsidRPr="00FF6F16">
        <w:rPr>
          <w:rFonts w:hint="eastAsia"/>
        </w:rPr>
        <w:t>３０</w:t>
      </w:r>
      <w:r w:rsidRPr="00FF6F16">
        <w:rPr>
          <w:rFonts w:hint="eastAsia"/>
        </w:rPr>
        <w:t>の製材業者があるなど、宮崎県を代表する木材供給基地である。</w:t>
      </w:r>
    </w:p>
    <w:p w14:paraId="3B5E461A" w14:textId="77777777" w:rsidR="003F35BA" w:rsidRPr="00FF6F16" w:rsidRDefault="003F35BA" w:rsidP="00951F4B">
      <w:pPr>
        <w:ind w:firstLineChars="100" w:firstLine="210"/>
      </w:pPr>
      <w:r w:rsidRPr="00FF6F16">
        <w:rPr>
          <w:rFonts w:hint="eastAsia"/>
        </w:rPr>
        <w:t>今後、スギを中心とする充実した森林資源を背景に、地元産材の需要を拡大していくことが重要な課題となっている。</w:t>
      </w:r>
    </w:p>
    <w:p w14:paraId="2AB418D5" w14:textId="0A64C199" w:rsidR="003F35BA" w:rsidRPr="00FF6F16" w:rsidRDefault="003F35BA" w:rsidP="00951F4B">
      <w:pPr>
        <w:ind w:firstLineChars="100" w:firstLine="210"/>
      </w:pPr>
      <w:r w:rsidRPr="00FF6F16">
        <w:rPr>
          <w:rFonts w:hint="eastAsia"/>
        </w:rPr>
        <w:t>一方、地球温暖化が深刻な環境問題として大きくクローズアップされる中で、脱炭素社会の実現や持続可能な開発目標（</w:t>
      </w:r>
      <w:r w:rsidRPr="00FF6F16">
        <w:t>SDG</w:t>
      </w:r>
      <w:r w:rsidRPr="00FF6F16">
        <w:rPr>
          <w:rFonts w:hint="eastAsia"/>
        </w:rPr>
        <w:t>ｓ）への貢献など木材の</w:t>
      </w:r>
      <w:r w:rsidR="0040776E" w:rsidRPr="00FF6F16">
        <w:rPr>
          <w:rFonts w:hint="eastAsia"/>
        </w:rPr>
        <w:t>利用促進</w:t>
      </w:r>
      <w:r w:rsidRPr="00FF6F16">
        <w:rPr>
          <w:rFonts w:hint="eastAsia"/>
        </w:rPr>
        <w:t>に対する期待がますます高まっている。</w:t>
      </w:r>
    </w:p>
    <w:p w14:paraId="5A295E7F" w14:textId="77777777" w:rsidR="003F35BA" w:rsidRPr="00FF6F16" w:rsidRDefault="003F35BA" w:rsidP="00951F4B">
      <w:pPr>
        <w:ind w:firstLineChars="100" w:firstLine="210"/>
      </w:pPr>
      <w:r w:rsidRPr="00FF6F16">
        <w:rPr>
          <w:rFonts w:hint="eastAsia"/>
        </w:rPr>
        <w:t>木材は、調湿性に優れ断熱性が高くリラックス効果があるなど、人にやさしい、心休まる素材であるとともに、鉄やコンクリート等に比べ加工等に必要なエネルギーも低い環境にもやさしい省エネ資材であり、炭素を長期間貯蔵できる機能を有する再生産可能な資材である。</w:t>
      </w:r>
    </w:p>
    <w:p w14:paraId="001B140B" w14:textId="77777777" w:rsidR="003F35BA" w:rsidRPr="00FF6F16" w:rsidRDefault="003F35BA" w:rsidP="00951F4B">
      <w:pPr>
        <w:ind w:firstLineChars="100" w:firstLine="210"/>
      </w:pPr>
      <w:r w:rsidRPr="00FF6F16">
        <w:rPr>
          <w:rFonts w:hint="eastAsia"/>
        </w:rPr>
        <w:t>これらの優れた特性を持つ木材の利用を推進することは、森林の適正な整備を通じた森林の有する多面的機能の持続的な発揮や、</w:t>
      </w:r>
      <w:r w:rsidRPr="00FF6F16">
        <w:rPr>
          <w:rFonts w:hint="eastAsia"/>
        </w:rPr>
        <w:t>2050</w:t>
      </w:r>
      <w:r w:rsidRPr="00FF6F16">
        <w:rPr>
          <w:rFonts w:hint="eastAsia"/>
        </w:rPr>
        <w:t>年ゼロカーボン社会の実現にも大きく貢献するものである。</w:t>
      </w:r>
    </w:p>
    <w:p w14:paraId="29DC9EAC" w14:textId="77777777" w:rsidR="003F35BA" w:rsidRPr="00FF6F16" w:rsidRDefault="003F35BA" w:rsidP="00951F4B">
      <w:pPr>
        <w:ind w:firstLineChars="100" w:firstLine="210"/>
      </w:pPr>
      <w:r w:rsidRPr="00FF6F16">
        <w:rPr>
          <w:rFonts w:hint="eastAsia"/>
        </w:rPr>
        <w:t>また、地元産材を利用することは、豊富な森林資源を支えてきた山村地域の活性化をはじめ素材生産から製材・加工に至る地域林業や木材産業の活性化に繋がるだけではなく、土木・建設関連の他産業の振興にも寄与するなど、本市地域経済への波及効果が期待される。</w:t>
      </w:r>
    </w:p>
    <w:p w14:paraId="0FBFFA90" w14:textId="7A2B504A" w:rsidR="003F35BA" w:rsidRPr="00FF6F16" w:rsidRDefault="003F35BA" w:rsidP="00951F4B">
      <w:pPr>
        <w:ind w:firstLineChars="100" w:firstLine="210"/>
      </w:pPr>
      <w:r w:rsidRPr="00FF6F16">
        <w:rPr>
          <w:rFonts w:hint="eastAsia"/>
        </w:rPr>
        <w:t>平成</w:t>
      </w:r>
      <w:r w:rsidRPr="00FF6F16">
        <w:t>22</w:t>
      </w:r>
      <w:r w:rsidRPr="00FF6F16">
        <w:rPr>
          <w:rFonts w:hint="eastAsia"/>
        </w:rPr>
        <w:t>年に公共建築物等における木材の利用の促進に関する法律が制定され、公共建築物等において木造化・木質化を推進してきたが、令和</w:t>
      </w:r>
      <w:r w:rsidRPr="00FF6F16">
        <w:rPr>
          <w:rFonts w:hint="eastAsia"/>
        </w:rPr>
        <w:t>3</w:t>
      </w:r>
      <w:r w:rsidRPr="00FF6F16">
        <w:rPr>
          <w:rFonts w:hint="eastAsia"/>
        </w:rPr>
        <w:t>年に当法律は｢脱炭素社会の実現に資する等のための建築物等における木材の利用の促進に関する法律｣（平成</w:t>
      </w:r>
      <w:r w:rsidRPr="00FF6F16">
        <w:t>22</w:t>
      </w:r>
      <w:r w:rsidRPr="00FF6F16">
        <w:rPr>
          <w:rFonts w:hint="eastAsia"/>
        </w:rPr>
        <w:t>年法律第</w:t>
      </w:r>
      <w:r w:rsidRPr="00FF6F16">
        <w:t>36</w:t>
      </w:r>
      <w:r w:rsidRPr="00FF6F16">
        <w:rPr>
          <w:rFonts w:hint="eastAsia"/>
        </w:rPr>
        <w:t>号。以下「法」という。）に改正され、</w:t>
      </w:r>
      <w:r w:rsidR="0040776E" w:rsidRPr="00FF6F16">
        <w:rPr>
          <w:rFonts w:hint="eastAsia"/>
        </w:rPr>
        <w:t>建築物において、さらなる木材利用の促進に取り組むため、</w:t>
      </w:r>
      <w:r w:rsidRPr="00FF6F16">
        <w:rPr>
          <w:rFonts w:hint="eastAsia"/>
        </w:rPr>
        <w:t>法の対象が公共建築物から民間建築物を含む建築物一般に拡大された。</w:t>
      </w:r>
    </w:p>
    <w:p w14:paraId="52FC3284" w14:textId="017D84AB" w:rsidR="003F35BA" w:rsidRPr="00FF6F16" w:rsidRDefault="003F35BA" w:rsidP="00951F4B">
      <w:pPr>
        <w:ind w:firstLineChars="100" w:firstLine="210"/>
      </w:pPr>
      <w:r w:rsidRPr="00FF6F16">
        <w:rPr>
          <w:rFonts w:hint="eastAsia"/>
        </w:rPr>
        <w:t>さらに、宮崎県木材利用促進条例が制定されたことを踏まえ、本市が実施する事業はもとより、民間建築物も含めた建築物全体において、地元産材の利用を促進</w:t>
      </w:r>
      <w:r w:rsidR="0040776E" w:rsidRPr="00FF6F16">
        <w:rPr>
          <w:rFonts w:hint="eastAsia"/>
        </w:rPr>
        <w:t>するとともに</w:t>
      </w:r>
      <w:r w:rsidRPr="00FF6F16">
        <w:rPr>
          <w:rFonts w:hint="eastAsia"/>
        </w:rPr>
        <w:t>、木材の良さを幅広く普及啓発</w:t>
      </w:r>
      <w:r w:rsidR="0040776E" w:rsidRPr="00FF6F16">
        <w:rPr>
          <w:rFonts w:hint="eastAsia"/>
        </w:rPr>
        <w:t>し</w:t>
      </w:r>
      <w:r w:rsidRPr="00FF6F16">
        <w:rPr>
          <w:rFonts w:hint="eastAsia"/>
        </w:rPr>
        <w:t>地元産材の需要拡大を図るものである。</w:t>
      </w:r>
    </w:p>
    <w:p w14:paraId="302AC161" w14:textId="77777777" w:rsidR="003F35BA" w:rsidRPr="00FF6F16" w:rsidRDefault="003F35BA" w:rsidP="003F35BA"/>
    <w:p w14:paraId="73496E64" w14:textId="77777777" w:rsidR="003F35BA" w:rsidRPr="00FF6F16" w:rsidRDefault="003F35BA" w:rsidP="003F35BA">
      <w:pPr>
        <w:rPr>
          <w:b/>
        </w:rPr>
      </w:pPr>
      <w:r w:rsidRPr="00FF6F16">
        <w:rPr>
          <w:rFonts w:hint="eastAsia"/>
          <w:b/>
        </w:rPr>
        <w:t>２　用語の定義</w:t>
      </w:r>
    </w:p>
    <w:p w14:paraId="631CEF75" w14:textId="77777777" w:rsidR="003F35BA" w:rsidRPr="00FF6F16" w:rsidRDefault="003F35BA" w:rsidP="00951F4B">
      <w:pPr>
        <w:ind w:firstLineChars="100" w:firstLine="210"/>
      </w:pPr>
      <w:r w:rsidRPr="00FF6F16">
        <w:rPr>
          <w:rFonts w:hint="eastAsia"/>
        </w:rPr>
        <w:t>この方針に使用する用語の定義は、次のとおりとする。</w:t>
      </w:r>
    </w:p>
    <w:p w14:paraId="681B4287" w14:textId="7DA0986E" w:rsidR="003F35BA" w:rsidRPr="00FF6F16" w:rsidRDefault="003F35BA" w:rsidP="00951F4B">
      <w:pPr>
        <w:ind w:left="420" w:hangingChars="200" w:hanging="420"/>
      </w:pPr>
      <w:r w:rsidRPr="00FF6F16">
        <w:rPr>
          <w:rFonts w:hint="eastAsia"/>
        </w:rPr>
        <w:t>（１）「地元産材」とは原則として、地元原産材及び地元原産材</w:t>
      </w:r>
      <w:r w:rsidRPr="00FF6F16">
        <w:t>を</w:t>
      </w:r>
      <w:r w:rsidRPr="00FF6F16">
        <w:rPr>
          <w:rFonts w:hint="eastAsia"/>
        </w:rPr>
        <w:t>加工した木材とするが、それらが手当できない場合にあっては、</w:t>
      </w:r>
      <w:r w:rsidR="004C4704" w:rsidRPr="00FF6F16">
        <w:rPr>
          <w:rFonts w:hint="eastAsia"/>
        </w:rPr>
        <w:t>本市で製材された</w:t>
      </w:r>
      <w:r w:rsidRPr="00FF6F16">
        <w:rPr>
          <w:rFonts w:hint="eastAsia"/>
        </w:rPr>
        <w:t>木材とする。</w:t>
      </w:r>
    </w:p>
    <w:p w14:paraId="78D42BE0" w14:textId="77777777" w:rsidR="003F35BA" w:rsidRPr="00FF6F16" w:rsidRDefault="003F35BA" w:rsidP="00951F4B">
      <w:pPr>
        <w:ind w:left="420" w:hangingChars="200" w:hanging="420"/>
      </w:pPr>
      <w:r w:rsidRPr="00FF6F16">
        <w:rPr>
          <w:rFonts w:hint="eastAsia"/>
        </w:rPr>
        <w:t>（２）「木造化」とは、</w:t>
      </w:r>
      <w:r w:rsidR="00EF04D1" w:rsidRPr="00FF6F16">
        <w:rPr>
          <w:rFonts w:hint="eastAsia"/>
        </w:rPr>
        <w:t>建築物</w:t>
      </w:r>
      <w:r w:rsidRPr="00FF6F16">
        <w:rPr>
          <w:rFonts w:hint="eastAsia"/>
        </w:rPr>
        <w:t>の主要構造部（壁、柱、梁等）</w:t>
      </w:r>
      <w:r w:rsidRPr="00FF6F16">
        <w:rPr>
          <w:rFonts w:hint="eastAsia"/>
        </w:rPr>
        <w:t xml:space="preserve"> </w:t>
      </w:r>
      <w:r w:rsidRPr="00FF6F16">
        <w:rPr>
          <w:rFonts w:hint="eastAsia"/>
        </w:rPr>
        <w:t>の全て又は一部に地元産材を使って木造とする新築、増築又は改築とする。</w:t>
      </w:r>
    </w:p>
    <w:p w14:paraId="7EA433B9" w14:textId="77777777" w:rsidR="003F35BA" w:rsidRPr="00FF6F16" w:rsidRDefault="003F35BA" w:rsidP="00951F4B">
      <w:pPr>
        <w:ind w:left="420" w:hangingChars="200" w:hanging="420"/>
      </w:pPr>
      <w:r w:rsidRPr="00FF6F16">
        <w:rPr>
          <w:rFonts w:hint="eastAsia"/>
        </w:rPr>
        <w:lastRenderedPageBreak/>
        <w:t>（３）「木質化」とは、建築物の室内に面する部分及び外壁等の屋外に面する部分の全て又は一部に地元産材を用いることとする。</w:t>
      </w:r>
    </w:p>
    <w:p w14:paraId="7C612A14" w14:textId="77777777" w:rsidR="003F35BA" w:rsidRPr="00FF6F16" w:rsidRDefault="003F35BA" w:rsidP="00951F4B">
      <w:pPr>
        <w:ind w:left="420" w:hangingChars="200" w:hanging="420"/>
      </w:pPr>
      <w:r w:rsidRPr="00FF6F16">
        <w:rPr>
          <w:rFonts w:hint="eastAsia"/>
        </w:rPr>
        <w:t>（４）「公共建築物」とは、国・地方公共団体が整備する公共の用又は公用に供する建築物に加え、民間が整備する学校、老人ホームなど広く市民一般が利用する公共性の高い建築物とする。具体的には、３の（１）ア及びイに示す建築物をいう。</w:t>
      </w:r>
    </w:p>
    <w:p w14:paraId="3698346E" w14:textId="77777777" w:rsidR="003F35BA" w:rsidRPr="00FF6F16" w:rsidRDefault="003F35BA" w:rsidP="003F35BA"/>
    <w:p w14:paraId="082040D9" w14:textId="77777777" w:rsidR="003F35BA" w:rsidRPr="00FF6F16" w:rsidRDefault="003F35BA" w:rsidP="003F35BA">
      <w:pPr>
        <w:rPr>
          <w:b/>
        </w:rPr>
      </w:pPr>
      <w:r w:rsidRPr="00FF6F16">
        <w:rPr>
          <w:rFonts w:hint="eastAsia"/>
          <w:b/>
        </w:rPr>
        <w:t>３　公共建築物等における地元産材の利用の促進</w:t>
      </w:r>
    </w:p>
    <w:p w14:paraId="586472FD" w14:textId="77777777" w:rsidR="001D23F2" w:rsidRPr="00FF6F16" w:rsidRDefault="001D23F2" w:rsidP="003F35BA">
      <w:pPr>
        <w:rPr>
          <w:b/>
        </w:rPr>
      </w:pPr>
      <w:r w:rsidRPr="00FF6F16">
        <w:rPr>
          <w:rFonts w:hint="eastAsia"/>
          <w:b/>
        </w:rPr>
        <w:t xml:space="preserve">　</w:t>
      </w:r>
      <w:r w:rsidRPr="00FF6F16">
        <w:rPr>
          <w:rFonts w:hint="eastAsia"/>
        </w:rPr>
        <w:t>この方針で地元産材の</w:t>
      </w:r>
      <w:r w:rsidRPr="00FF6F16">
        <w:t>利用を促進すべき公共建築物</w:t>
      </w:r>
      <w:r w:rsidRPr="00FF6F16">
        <w:rPr>
          <w:rFonts w:hint="eastAsia"/>
        </w:rPr>
        <w:t>等については、次のとおりとする。</w:t>
      </w:r>
    </w:p>
    <w:p w14:paraId="209C298E" w14:textId="77777777" w:rsidR="003F35BA" w:rsidRPr="00FF6F16" w:rsidRDefault="003F35BA" w:rsidP="001D23F2">
      <w:pPr>
        <w:ind w:left="420" w:hangingChars="200" w:hanging="420"/>
      </w:pPr>
      <w:r w:rsidRPr="00FF6F16">
        <w:rPr>
          <w:rFonts w:hint="eastAsia"/>
        </w:rPr>
        <w:t>（１</w:t>
      </w:r>
      <w:r w:rsidRPr="00FF6F16">
        <w:t>）</w:t>
      </w:r>
      <w:r w:rsidRPr="00FF6F16">
        <w:rPr>
          <w:rFonts w:hint="eastAsia"/>
        </w:rPr>
        <w:t>本方針</w:t>
      </w:r>
      <w:r w:rsidRPr="00FF6F16">
        <w:t>において、木材の利用を促進すべき公共建築物は、法第</w:t>
      </w:r>
      <w:r w:rsidRPr="00FF6F16">
        <w:t>2</w:t>
      </w:r>
      <w:r w:rsidRPr="00FF6F16">
        <w:t>条第</w:t>
      </w:r>
      <w:r w:rsidRPr="00FF6F16">
        <w:rPr>
          <w:rFonts w:hint="eastAsia"/>
        </w:rPr>
        <w:t>1</w:t>
      </w:r>
      <w:r w:rsidRPr="00FF6F16">
        <w:rPr>
          <w:rFonts w:hint="eastAsia"/>
        </w:rPr>
        <w:t>項</w:t>
      </w:r>
      <w:r w:rsidRPr="00FF6F16">
        <w:t>各号及び法施行令（平成</w:t>
      </w:r>
      <w:r w:rsidRPr="00FF6F16">
        <w:rPr>
          <w:rFonts w:hint="eastAsia"/>
        </w:rPr>
        <w:t>22</w:t>
      </w:r>
      <w:r w:rsidRPr="00FF6F16">
        <w:rPr>
          <w:rFonts w:hint="eastAsia"/>
        </w:rPr>
        <w:t>年第</w:t>
      </w:r>
      <w:r w:rsidRPr="00FF6F16">
        <w:rPr>
          <w:rFonts w:hint="eastAsia"/>
        </w:rPr>
        <w:t>203</w:t>
      </w:r>
      <w:r w:rsidRPr="00FF6F16">
        <w:rPr>
          <w:rFonts w:hint="eastAsia"/>
        </w:rPr>
        <w:t>号</w:t>
      </w:r>
      <w:r w:rsidRPr="00FF6F16">
        <w:t>）第</w:t>
      </w:r>
      <w:r w:rsidRPr="00FF6F16">
        <w:rPr>
          <w:rFonts w:hint="eastAsia"/>
        </w:rPr>
        <w:t>1</w:t>
      </w:r>
      <w:r w:rsidRPr="00FF6F16">
        <w:rPr>
          <w:rFonts w:hint="eastAsia"/>
        </w:rPr>
        <w:t>条</w:t>
      </w:r>
      <w:r w:rsidRPr="00FF6F16">
        <w:t>各号に掲げる建築物であり、具体的には以下のような建築物が含まれる。</w:t>
      </w:r>
    </w:p>
    <w:p w14:paraId="21F2F7AB" w14:textId="77777777" w:rsidR="003F35BA" w:rsidRPr="00FF6F16" w:rsidRDefault="003F35BA" w:rsidP="001D23F2">
      <w:pPr>
        <w:ind w:firstLineChars="200" w:firstLine="420"/>
      </w:pPr>
      <w:r w:rsidRPr="00FF6F16">
        <w:rPr>
          <w:rFonts w:hint="eastAsia"/>
        </w:rPr>
        <w:t xml:space="preserve">ア　</w:t>
      </w:r>
      <w:r w:rsidRPr="00FF6F16">
        <w:t>市が整備する</w:t>
      </w:r>
      <w:r w:rsidRPr="00FF6F16">
        <w:rPr>
          <w:rFonts w:hint="eastAsia"/>
        </w:rPr>
        <w:t>公共</w:t>
      </w:r>
      <w:r w:rsidRPr="00FF6F16">
        <w:t>の用</w:t>
      </w:r>
      <w:r w:rsidRPr="00FF6F16">
        <w:rPr>
          <w:rFonts w:hint="eastAsia"/>
        </w:rPr>
        <w:t>又は公用に供する建築物等</w:t>
      </w:r>
    </w:p>
    <w:tbl>
      <w:tblPr>
        <w:tblStyle w:val="a3"/>
        <w:tblW w:w="8363" w:type="dxa"/>
        <w:tblInd w:w="421" w:type="dxa"/>
        <w:tblLook w:val="04A0" w:firstRow="1" w:lastRow="0" w:firstColumn="1" w:lastColumn="0" w:noHBand="0" w:noVBand="1"/>
      </w:tblPr>
      <w:tblGrid>
        <w:gridCol w:w="2976"/>
        <w:gridCol w:w="5387"/>
      </w:tblGrid>
      <w:tr w:rsidR="00FF6F16" w:rsidRPr="00FF6F16" w14:paraId="3B0ECBC9" w14:textId="77777777" w:rsidTr="001D23F2">
        <w:trPr>
          <w:trHeight w:val="397"/>
        </w:trPr>
        <w:tc>
          <w:tcPr>
            <w:tcW w:w="2976" w:type="dxa"/>
            <w:vAlign w:val="center"/>
          </w:tcPr>
          <w:p w14:paraId="01140EC0" w14:textId="77777777" w:rsidR="003F35BA" w:rsidRPr="00FF6F16" w:rsidRDefault="003F35BA" w:rsidP="008C3253">
            <w:pPr>
              <w:jc w:val="center"/>
            </w:pPr>
            <w:r w:rsidRPr="00FF6F16">
              <w:rPr>
                <w:rFonts w:hint="eastAsia"/>
              </w:rPr>
              <w:t>種別</w:t>
            </w:r>
          </w:p>
        </w:tc>
        <w:tc>
          <w:tcPr>
            <w:tcW w:w="5387" w:type="dxa"/>
            <w:vAlign w:val="center"/>
          </w:tcPr>
          <w:p w14:paraId="798694FE" w14:textId="77777777" w:rsidR="003F35BA" w:rsidRPr="00FF6F16" w:rsidRDefault="003F35BA" w:rsidP="008C3253">
            <w:pPr>
              <w:jc w:val="center"/>
            </w:pPr>
            <w:r w:rsidRPr="00FF6F16">
              <w:rPr>
                <w:rFonts w:hint="eastAsia"/>
              </w:rPr>
              <w:t>具体例</w:t>
            </w:r>
          </w:p>
        </w:tc>
      </w:tr>
      <w:tr w:rsidR="00FF6F16" w:rsidRPr="00FF6F16" w14:paraId="32127784" w14:textId="77777777" w:rsidTr="001D23F2">
        <w:trPr>
          <w:trHeight w:val="397"/>
        </w:trPr>
        <w:tc>
          <w:tcPr>
            <w:tcW w:w="2976" w:type="dxa"/>
            <w:vAlign w:val="center"/>
          </w:tcPr>
          <w:p w14:paraId="41ACB89C" w14:textId="77777777" w:rsidR="003F35BA" w:rsidRPr="00FF6F16" w:rsidRDefault="003F35BA" w:rsidP="003F35BA">
            <w:r w:rsidRPr="00FF6F16">
              <w:rPr>
                <w:rFonts w:hint="eastAsia"/>
              </w:rPr>
              <w:t>学校</w:t>
            </w:r>
          </w:p>
        </w:tc>
        <w:tc>
          <w:tcPr>
            <w:tcW w:w="5387" w:type="dxa"/>
            <w:vAlign w:val="center"/>
          </w:tcPr>
          <w:p w14:paraId="1A33034E" w14:textId="77777777" w:rsidR="003F35BA" w:rsidRPr="00FF6F16" w:rsidRDefault="003F35BA" w:rsidP="003F35BA">
            <w:r w:rsidRPr="00FF6F16">
              <w:rPr>
                <w:rFonts w:hint="eastAsia"/>
              </w:rPr>
              <w:t>幼稚園、小学校、中学校</w:t>
            </w:r>
          </w:p>
        </w:tc>
      </w:tr>
      <w:tr w:rsidR="00FF6F16" w:rsidRPr="00FF6F16" w14:paraId="28CE58BE" w14:textId="77777777" w:rsidTr="001D23F2">
        <w:trPr>
          <w:trHeight w:val="397"/>
        </w:trPr>
        <w:tc>
          <w:tcPr>
            <w:tcW w:w="2976" w:type="dxa"/>
            <w:vAlign w:val="center"/>
          </w:tcPr>
          <w:p w14:paraId="097FD4EE" w14:textId="77777777" w:rsidR="003F35BA" w:rsidRPr="00FF6F16" w:rsidRDefault="003F35BA" w:rsidP="003F35BA">
            <w:r w:rsidRPr="00FF6F16">
              <w:rPr>
                <w:rFonts w:hint="eastAsia"/>
              </w:rPr>
              <w:t>社会福祉施設</w:t>
            </w:r>
          </w:p>
        </w:tc>
        <w:tc>
          <w:tcPr>
            <w:tcW w:w="5387" w:type="dxa"/>
            <w:vAlign w:val="center"/>
          </w:tcPr>
          <w:p w14:paraId="08185700" w14:textId="77777777" w:rsidR="003F35BA" w:rsidRPr="00FF6F16" w:rsidRDefault="003F35BA" w:rsidP="003F35BA">
            <w:r w:rsidRPr="00FF6F16">
              <w:rPr>
                <w:rFonts w:hint="eastAsia"/>
              </w:rPr>
              <w:t>児童福祉施設、老人福祉施設、保育所等</w:t>
            </w:r>
          </w:p>
        </w:tc>
      </w:tr>
      <w:tr w:rsidR="00FF6F16" w:rsidRPr="00FF6F16" w14:paraId="79E8FFC2" w14:textId="77777777" w:rsidTr="001D23F2">
        <w:trPr>
          <w:trHeight w:val="397"/>
        </w:trPr>
        <w:tc>
          <w:tcPr>
            <w:tcW w:w="2976" w:type="dxa"/>
            <w:vAlign w:val="center"/>
          </w:tcPr>
          <w:p w14:paraId="0F2F3E47" w14:textId="77777777" w:rsidR="003F35BA" w:rsidRPr="00FF6F16" w:rsidRDefault="003F35BA" w:rsidP="003F35BA">
            <w:r w:rsidRPr="00FF6F16">
              <w:rPr>
                <w:rFonts w:hint="eastAsia"/>
              </w:rPr>
              <w:t>保健・衛生施設</w:t>
            </w:r>
          </w:p>
        </w:tc>
        <w:tc>
          <w:tcPr>
            <w:tcW w:w="5387" w:type="dxa"/>
            <w:vAlign w:val="center"/>
          </w:tcPr>
          <w:p w14:paraId="2274E7B0" w14:textId="77777777" w:rsidR="003F35BA" w:rsidRPr="00FF6F16" w:rsidRDefault="003F35BA" w:rsidP="003F35BA">
            <w:r w:rsidRPr="00FF6F16">
              <w:rPr>
                <w:rFonts w:hint="eastAsia"/>
              </w:rPr>
              <w:t>病院、診療所、保健所等</w:t>
            </w:r>
          </w:p>
        </w:tc>
      </w:tr>
      <w:tr w:rsidR="00FF6F16" w:rsidRPr="00FF6F16" w14:paraId="2338A766" w14:textId="77777777" w:rsidTr="001D23F2">
        <w:trPr>
          <w:trHeight w:val="397"/>
        </w:trPr>
        <w:tc>
          <w:tcPr>
            <w:tcW w:w="2976" w:type="dxa"/>
            <w:vAlign w:val="center"/>
          </w:tcPr>
          <w:p w14:paraId="7AA8B7D9" w14:textId="77777777" w:rsidR="003F35BA" w:rsidRPr="00FF6F16" w:rsidRDefault="003F35BA" w:rsidP="003F35BA">
            <w:r w:rsidRPr="00FF6F16">
              <w:rPr>
                <w:rFonts w:hint="eastAsia"/>
              </w:rPr>
              <w:t>運動施設</w:t>
            </w:r>
          </w:p>
        </w:tc>
        <w:tc>
          <w:tcPr>
            <w:tcW w:w="5387" w:type="dxa"/>
            <w:vAlign w:val="center"/>
          </w:tcPr>
          <w:p w14:paraId="35A20222" w14:textId="77777777" w:rsidR="003F35BA" w:rsidRPr="00FF6F16" w:rsidRDefault="003F35BA" w:rsidP="003F35BA">
            <w:r w:rsidRPr="00FF6F16">
              <w:rPr>
                <w:rFonts w:hint="eastAsia"/>
              </w:rPr>
              <w:t>体育館、水泳場等</w:t>
            </w:r>
          </w:p>
        </w:tc>
      </w:tr>
      <w:tr w:rsidR="00FF6F16" w:rsidRPr="00FF6F16" w14:paraId="321DD395" w14:textId="77777777" w:rsidTr="001D23F2">
        <w:trPr>
          <w:trHeight w:val="397"/>
        </w:trPr>
        <w:tc>
          <w:tcPr>
            <w:tcW w:w="2976" w:type="dxa"/>
            <w:vAlign w:val="center"/>
          </w:tcPr>
          <w:p w14:paraId="4F7AADC0" w14:textId="77777777" w:rsidR="003F35BA" w:rsidRPr="00FF6F16" w:rsidRDefault="003F35BA" w:rsidP="003F35BA">
            <w:r w:rsidRPr="00FF6F16">
              <w:rPr>
                <w:rFonts w:hint="eastAsia"/>
              </w:rPr>
              <w:t>社会教育施設</w:t>
            </w:r>
          </w:p>
        </w:tc>
        <w:tc>
          <w:tcPr>
            <w:tcW w:w="5387" w:type="dxa"/>
            <w:vAlign w:val="center"/>
          </w:tcPr>
          <w:p w14:paraId="30687358" w14:textId="77777777" w:rsidR="003F35BA" w:rsidRPr="00FF6F16" w:rsidRDefault="003F35BA" w:rsidP="003F35BA">
            <w:r w:rsidRPr="00FF6F16">
              <w:rPr>
                <w:rFonts w:hint="eastAsia"/>
              </w:rPr>
              <w:t>図書館、美術館、公民館等</w:t>
            </w:r>
          </w:p>
        </w:tc>
      </w:tr>
      <w:tr w:rsidR="00FF6F16" w:rsidRPr="00FF6F16" w14:paraId="64889F25" w14:textId="77777777" w:rsidTr="001D23F2">
        <w:trPr>
          <w:trHeight w:val="397"/>
        </w:trPr>
        <w:tc>
          <w:tcPr>
            <w:tcW w:w="2976" w:type="dxa"/>
            <w:vAlign w:val="center"/>
          </w:tcPr>
          <w:p w14:paraId="3D4AC216" w14:textId="77777777" w:rsidR="003F35BA" w:rsidRPr="00FF6F16" w:rsidRDefault="003F35BA" w:rsidP="003F35BA">
            <w:r w:rsidRPr="00FF6F16">
              <w:rPr>
                <w:rFonts w:hint="eastAsia"/>
              </w:rPr>
              <w:t>都市・住宅施設</w:t>
            </w:r>
          </w:p>
        </w:tc>
        <w:tc>
          <w:tcPr>
            <w:tcW w:w="5387" w:type="dxa"/>
            <w:vAlign w:val="center"/>
          </w:tcPr>
          <w:p w14:paraId="7804A05A" w14:textId="77777777" w:rsidR="003F35BA" w:rsidRPr="00FF6F16" w:rsidRDefault="003F35BA" w:rsidP="003F35BA">
            <w:r w:rsidRPr="00FF6F16">
              <w:rPr>
                <w:rFonts w:hint="eastAsia"/>
              </w:rPr>
              <w:t>都市公園、公営住宅等</w:t>
            </w:r>
          </w:p>
        </w:tc>
      </w:tr>
      <w:tr w:rsidR="00FF6F16" w:rsidRPr="00FF6F16" w14:paraId="7235CC10" w14:textId="77777777" w:rsidTr="001D23F2">
        <w:trPr>
          <w:trHeight w:val="397"/>
        </w:trPr>
        <w:tc>
          <w:tcPr>
            <w:tcW w:w="2976" w:type="dxa"/>
            <w:vAlign w:val="center"/>
          </w:tcPr>
          <w:p w14:paraId="684E316B" w14:textId="77777777" w:rsidR="003F35BA" w:rsidRPr="00FF6F16" w:rsidRDefault="003F35BA" w:rsidP="003F35BA">
            <w:r w:rsidRPr="00FF6F16">
              <w:rPr>
                <w:rFonts w:hint="eastAsia"/>
              </w:rPr>
              <w:t>行政施設</w:t>
            </w:r>
          </w:p>
        </w:tc>
        <w:tc>
          <w:tcPr>
            <w:tcW w:w="5387" w:type="dxa"/>
            <w:vAlign w:val="center"/>
          </w:tcPr>
          <w:p w14:paraId="1ACAD40E" w14:textId="77777777" w:rsidR="003F35BA" w:rsidRPr="00FF6F16" w:rsidRDefault="003F35BA" w:rsidP="003F35BA">
            <w:r w:rsidRPr="00FF6F16">
              <w:rPr>
                <w:rFonts w:hint="eastAsia"/>
              </w:rPr>
              <w:t>庁舎等</w:t>
            </w:r>
          </w:p>
        </w:tc>
      </w:tr>
      <w:tr w:rsidR="00FF6F16" w:rsidRPr="00FF6F16" w14:paraId="7CFDC1FC" w14:textId="77777777" w:rsidTr="001D23F2">
        <w:trPr>
          <w:trHeight w:val="397"/>
        </w:trPr>
        <w:tc>
          <w:tcPr>
            <w:tcW w:w="2976" w:type="dxa"/>
            <w:vAlign w:val="center"/>
          </w:tcPr>
          <w:p w14:paraId="14E27DBF" w14:textId="77777777" w:rsidR="003F35BA" w:rsidRPr="00FF6F16" w:rsidRDefault="003F35BA" w:rsidP="003F35BA">
            <w:r w:rsidRPr="00FF6F16">
              <w:rPr>
                <w:rFonts w:hint="eastAsia"/>
              </w:rPr>
              <w:t>公共施設である工作物</w:t>
            </w:r>
          </w:p>
        </w:tc>
        <w:tc>
          <w:tcPr>
            <w:tcW w:w="5387" w:type="dxa"/>
            <w:vAlign w:val="center"/>
          </w:tcPr>
          <w:p w14:paraId="4FFECCA5" w14:textId="77777777" w:rsidR="003F35BA" w:rsidRPr="00FF6F16" w:rsidRDefault="003F35BA" w:rsidP="003F35BA">
            <w:r w:rsidRPr="00FF6F16">
              <w:rPr>
                <w:rFonts w:hint="eastAsia"/>
              </w:rPr>
              <w:t>公共土木工事、森林整備工事等における工作物、土木構造物等</w:t>
            </w:r>
          </w:p>
        </w:tc>
      </w:tr>
      <w:tr w:rsidR="00FF6F16" w:rsidRPr="00FF6F16" w14:paraId="5BC0EBA6" w14:textId="77777777" w:rsidTr="001D23F2">
        <w:trPr>
          <w:trHeight w:val="397"/>
        </w:trPr>
        <w:tc>
          <w:tcPr>
            <w:tcW w:w="2976" w:type="dxa"/>
            <w:vAlign w:val="center"/>
          </w:tcPr>
          <w:p w14:paraId="2E07DDE7" w14:textId="77777777" w:rsidR="003F35BA" w:rsidRPr="00FF6F16" w:rsidRDefault="003F35BA" w:rsidP="003F35BA">
            <w:r w:rsidRPr="00FF6F16">
              <w:rPr>
                <w:rFonts w:hint="eastAsia"/>
              </w:rPr>
              <w:t>その他市が整備する建築物</w:t>
            </w:r>
          </w:p>
        </w:tc>
        <w:tc>
          <w:tcPr>
            <w:tcW w:w="5387" w:type="dxa"/>
            <w:vAlign w:val="center"/>
          </w:tcPr>
          <w:p w14:paraId="7ED8BC68" w14:textId="77777777" w:rsidR="003F35BA" w:rsidRPr="00FF6F16" w:rsidRDefault="003F35BA" w:rsidP="003F35BA"/>
        </w:tc>
      </w:tr>
    </w:tbl>
    <w:p w14:paraId="131D218A" w14:textId="77777777" w:rsidR="003F35BA" w:rsidRPr="00FF6F16" w:rsidRDefault="003F35BA" w:rsidP="001D23F2">
      <w:pPr>
        <w:ind w:leftChars="200" w:left="630" w:hangingChars="100" w:hanging="210"/>
      </w:pPr>
      <w:r w:rsidRPr="00FF6F16">
        <w:rPr>
          <w:rFonts w:hint="eastAsia"/>
        </w:rPr>
        <w:t xml:space="preserve">イ　</w:t>
      </w:r>
      <w:r w:rsidR="008C3253" w:rsidRPr="00FF6F16">
        <w:rPr>
          <w:rFonts w:hint="eastAsia"/>
        </w:rPr>
        <w:t>民間</w:t>
      </w:r>
      <w:r w:rsidR="008C3253" w:rsidRPr="00FF6F16">
        <w:t>の</w:t>
      </w:r>
      <w:r w:rsidR="008C3253" w:rsidRPr="00FF6F16">
        <w:rPr>
          <w:rFonts w:hint="eastAsia"/>
        </w:rPr>
        <w:t>事業体</w:t>
      </w:r>
      <w:r w:rsidR="008C3253" w:rsidRPr="00FF6F16">
        <w:t>整備する施設</w:t>
      </w:r>
      <w:r w:rsidR="008C3253" w:rsidRPr="00FF6F16">
        <w:rPr>
          <w:rFonts w:hint="eastAsia"/>
        </w:rPr>
        <w:t>のうち</w:t>
      </w:r>
      <w:r w:rsidR="008C3253" w:rsidRPr="00FF6F16">
        <w:t>、</w:t>
      </w:r>
      <w:r w:rsidRPr="00FF6F16">
        <w:rPr>
          <w:rFonts w:hint="eastAsia"/>
        </w:rPr>
        <w:t>アに準ずる建築物であって、広く市民に利用され、市民の文化・福祉の向上に資するなど公共性が高いと認められる次のような施設</w:t>
      </w:r>
    </w:p>
    <w:tbl>
      <w:tblPr>
        <w:tblStyle w:val="a3"/>
        <w:tblW w:w="0" w:type="auto"/>
        <w:tblInd w:w="421" w:type="dxa"/>
        <w:tblLook w:val="04A0" w:firstRow="1" w:lastRow="0" w:firstColumn="1" w:lastColumn="0" w:noHBand="0" w:noVBand="1"/>
      </w:tblPr>
      <w:tblGrid>
        <w:gridCol w:w="2976"/>
        <w:gridCol w:w="5387"/>
      </w:tblGrid>
      <w:tr w:rsidR="00FF6F16" w:rsidRPr="00FF6F16" w14:paraId="5845B808" w14:textId="77777777" w:rsidTr="00A538DB">
        <w:trPr>
          <w:trHeight w:val="397"/>
        </w:trPr>
        <w:tc>
          <w:tcPr>
            <w:tcW w:w="2976" w:type="dxa"/>
            <w:vAlign w:val="center"/>
          </w:tcPr>
          <w:p w14:paraId="5F9C63A1" w14:textId="77777777" w:rsidR="003F35BA" w:rsidRPr="00FF6F16" w:rsidRDefault="003F35BA" w:rsidP="008C3253">
            <w:pPr>
              <w:jc w:val="center"/>
            </w:pPr>
            <w:r w:rsidRPr="00FF6F16">
              <w:rPr>
                <w:rFonts w:hint="eastAsia"/>
              </w:rPr>
              <w:t>種別</w:t>
            </w:r>
          </w:p>
        </w:tc>
        <w:tc>
          <w:tcPr>
            <w:tcW w:w="5387" w:type="dxa"/>
            <w:vAlign w:val="center"/>
          </w:tcPr>
          <w:p w14:paraId="0DA6EFAF" w14:textId="77777777" w:rsidR="003F35BA" w:rsidRPr="00FF6F16" w:rsidRDefault="003F35BA" w:rsidP="008C3253">
            <w:pPr>
              <w:jc w:val="center"/>
            </w:pPr>
            <w:r w:rsidRPr="00FF6F16">
              <w:rPr>
                <w:rFonts w:hint="eastAsia"/>
              </w:rPr>
              <w:t>具体例</w:t>
            </w:r>
          </w:p>
        </w:tc>
      </w:tr>
      <w:tr w:rsidR="00FF6F16" w:rsidRPr="00FF6F16" w14:paraId="13659E29" w14:textId="77777777" w:rsidTr="00A538DB">
        <w:trPr>
          <w:trHeight w:val="397"/>
        </w:trPr>
        <w:tc>
          <w:tcPr>
            <w:tcW w:w="2976" w:type="dxa"/>
            <w:vAlign w:val="center"/>
          </w:tcPr>
          <w:p w14:paraId="05B1F23C" w14:textId="77777777" w:rsidR="003F35BA" w:rsidRPr="00FF6F16" w:rsidRDefault="003F35BA" w:rsidP="003F35BA">
            <w:r w:rsidRPr="00FF6F16">
              <w:rPr>
                <w:rFonts w:hint="eastAsia"/>
              </w:rPr>
              <w:t>学校</w:t>
            </w:r>
          </w:p>
        </w:tc>
        <w:tc>
          <w:tcPr>
            <w:tcW w:w="5387" w:type="dxa"/>
            <w:vAlign w:val="center"/>
          </w:tcPr>
          <w:p w14:paraId="16A6ADC8" w14:textId="77777777" w:rsidR="003F35BA" w:rsidRPr="00FF6F16" w:rsidRDefault="003F35BA" w:rsidP="003F35BA">
            <w:r w:rsidRPr="00FF6F16">
              <w:rPr>
                <w:rFonts w:hint="eastAsia"/>
              </w:rPr>
              <w:t>幼稚園、小学校、中学校、高等学校等</w:t>
            </w:r>
          </w:p>
        </w:tc>
      </w:tr>
      <w:tr w:rsidR="00FF6F16" w:rsidRPr="00FF6F16" w14:paraId="27C208FD" w14:textId="77777777" w:rsidTr="00A538DB">
        <w:trPr>
          <w:trHeight w:val="397"/>
        </w:trPr>
        <w:tc>
          <w:tcPr>
            <w:tcW w:w="2976" w:type="dxa"/>
            <w:vAlign w:val="center"/>
          </w:tcPr>
          <w:p w14:paraId="3C714FD4" w14:textId="77777777" w:rsidR="003F35BA" w:rsidRPr="00FF6F16" w:rsidRDefault="003F35BA" w:rsidP="003F35BA">
            <w:r w:rsidRPr="00FF6F16">
              <w:rPr>
                <w:rFonts w:hint="eastAsia"/>
              </w:rPr>
              <w:t>社会福祉施設</w:t>
            </w:r>
          </w:p>
        </w:tc>
        <w:tc>
          <w:tcPr>
            <w:tcW w:w="5387" w:type="dxa"/>
            <w:vAlign w:val="center"/>
          </w:tcPr>
          <w:p w14:paraId="6210560D" w14:textId="77777777" w:rsidR="003F35BA" w:rsidRPr="00FF6F16" w:rsidRDefault="003F35BA" w:rsidP="003F35BA">
            <w:r w:rsidRPr="00FF6F16">
              <w:rPr>
                <w:rFonts w:hint="eastAsia"/>
              </w:rPr>
              <w:t>児童福祉施設、老人福祉施設、保育所等</w:t>
            </w:r>
          </w:p>
        </w:tc>
      </w:tr>
      <w:tr w:rsidR="00FF6F16" w:rsidRPr="00FF6F16" w14:paraId="64A55C27" w14:textId="77777777" w:rsidTr="00A538DB">
        <w:trPr>
          <w:trHeight w:val="397"/>
        </w:trPr>
        <w:tc>
          <w:tcPr>
            <w:tcW w:w="2976" w:type="dxa"/>
            <w:vAlign w:val="center"/>
          </w:tcPr>
          <w:p w14:paraId="59DFAAB3" w14:textId="77777777" w:rsidR="003F35BA" w:rsidRPr="00FF6F16" w:rsidRDefault="003F35BA" w:rsidP="003F35BA">
            <w:r w:rsidRPr="00FF6F16">
              <w:rPr>
                <w:rFonts w:hint="eastAsia"/>
              </w:rPr>
              <w:t>保健・衛生施設</w:t>
            </w:r>
          </w:p>
        </w:tc>
        <w:tc>
          <w:tcPr>
            <w:tcW w:w="5387" w:type="dxa"/>
            <w:vAlign w:val="center"/>
          </w:tcPr>
          <w:p w14:paraId="74A4783B" w14:textId="77777777" w:rsidR="003F35BA" w:rsidRPr="00FF6F16" w:rsidRDefault="003F35BA" w:rsidP="003F35BA">
            <w:r w:rsidRPr="00FF6F16">
              <w:rPr>
                <w:rFonts w:hint="eastAsia"/>
              </w:rPr>
              <w:t>病院、診療所等</w:t>
            </w:r>
          </w:p>
        </w:tc>
      </w:tr>
      <w:tr w:rsidR="00FF6F16" w:rsidRPr="00FF6F16" w14:paraId="48BDB6F4" w14:textId="77777777" w:rsidTr="00A538DB">
        <w:trPr>
          <w:trHeight w:val="397"/>
        </w:trPr>
        <w:tc>
          <w:tcPr>
            <w:tcW w:w="2976" w:type="dxa"/>
            <w:vAlign w:val="center"/>
          </w:tcPr>
          <w:p w14:paraId="36CD3396" w14:textId="77777777" w:rsidR="003F35BA" w:rsidRPr="00FF6F16" w:rsidRDefault="003F35BA" w:rsidP="003F35BA">
            <w:r w:rsidRPr="00FF6F16">
              <w:rPr>
                <w:rFonts w:hint="eastAsia"/>
              </w:rPr>
              <w:t>運動施設</w:t>
            </w:r>
          </w:p>
        </w:tc>
        <w:tc>
          <w:tcPr>
            <w:tcW w:w="5387" w:type="dxa"/>
            <w:vAlign w:val="center"/>
          </w:tcPr>
          <w:p w14:paraId="7940DF26" w14:textId="77777777" w:rsidR="003F35BA" w:rsidRPr="00FF6F16" w:rsidRDefault="003F35BA" w:rsidP="003F35BA">
            <w:r w:rsidRPr="00FF6F16">
              <w:rPr>
                <w:rFonts w:hint="eastAsia"/>
              </w:rPr>
              <w:t>体育館、水泳場等</w:t>
            </w:r>
          </w:p>
        </w:tc>
      </w:tr>
      <w:tr w:rsidR="00FF6F16" w:rsidRPr="00FF6F16" w14:paraId="03F7E3CE" w14:textId="77777777" w:rsidTr="00A538DB">
        <w:trPr>
          <w:trHeight w:val="397"/>
        </w:trPr>
        <w:tc>
          <w:tcPr>
            <w:tcW w:w="2976" w:type="dxa"/>
            <w:vAlign w:val="center"/>
          </w:tcPr>
          <w:p w14:paraId="31209C1D" w14:textId="77777777" w:rsidR="003F35BA" w:rsidRPr="00FF6F16" w:rsidRDefault="003F35BA" w:rsidP="003F35BA">
            <w:r w:rsidRPr="00FF6F16">
              <w:rPr>
                <w:rFonts w:hint="eastAsia"/>
              </w:rPr>
              <w:t>社会教育施設</w:t>
            </w:r>
          </w:p>
        </w:tc>
        <w:tc>
          <w:tcPr>
            <w:tcW w:w="5387" w:type="dxa"/>
            <w:vAlign w:val="center"/>
          </w:tcPr>
          <w:p w14:paraId="4B11C679" w14:textId="77777777" w:rsidR="003F35BA" w:rsidRPr="00FF6F16" w:rsidRDefault="003F35BA" w:rsidP="003F35BA">
            <w:r w:rsidRPr="00FF6F16">
              <w:rPr>
                <w:rFonts w:hint="eastAsia"/>
              </w:rPr>
              <w:t>図書館、美術館等</w:t>
            </w:r>
          </w:p>
        </w:tc>
      </w:tr>
      <w:tr w:rsidR="00FF6F16" w:rsidRPr="00FF6F16" w14:paraId="53F71C5D" w14:textId="77777777" w:rsidTr="00A538DB">
        <w:trPr>
          <w:trHeight w:val="397"/>
        </w:trPr>
        <w:tc>
          <w:tcPr>
            <w:tcW w:w="2976" w:type="dxa"/>
            <w:vAlign w:val="center"/>
          </w:tcPr>
          <w:p w14:paraId="57EB1320" w14:textId="77777777" w:rsidR="003F35BA" w:rsidRPr="00FF6F16" w:rsidRDefault="003F35BA" w:rsidP="003F35BA">
            <w:r w:rsidRPr="00FF6F16">
              <w:rPr>
                <w:rFonts w:hint="eastAsia"/>
              </w:rPr>
              <w:t>都市・住宅施設</w:t>
            </w:r>
          </w:p>
        </w:tc>
        <w:tc>
          <w:tcPr>
            <w:tcW w:w="5387" w:type="dxa"/>
            <w:vAlign w:val="center"/>
          </w:tcPr>
          <w:p w14:paraId="7049A2CA" w14:textId="77777777" w:rsidR="003F35BA" w:rsidRPr="00FF6F16" w:rsidRDefault="003F35BA" w:rsidP="008C3253">
            <w:r w:rsidRPr="00FF6F16">
              <w:rPr>
                <w:rFonts w:hint="eastAsia"/>
              </w:rPr>
              <w:t>都市公園、</w:t>
            </w:r>
            <w:r w:rsidR="008C3253" w:rsidRPr="00FF6F16">
              <w:rPr>
                <w:rFonts w:hint="eastAsia"/>
              </w:rPr>
              <w:t>賃貸</w:t>
            </w:r>
            <w:r w:rsidRPr="00FF6F16">
              <w:rPr>
                <w:rFonts w:hint="eastAsia"/>
              </w:rPr>
              <w:t>住宅等</w:t>
            </w:r>
          </w:p>
        </w:tc>
      </w:tr>
      <w:tr w:rsidR="00FF6F16" w:rsidRPr="00FF6F16" w14:paraId="0D7E90D0" w14:textId="77777777" w:rsidTr="00A538DB">
        <w:trPr>
          <w:trHeight w:val="397"/>
        </w:trPr>
        <w:tc>
          <w:tcPr>
            <w:tcW w:w="2976" w:type="dxa"/>
            <w:vAlign w:val="center"/>
          </w:tcPr>
          <w:p w14:paraId="4A07F4BA" w14:textId="77777777" w:rsidR="003F35BA" w:rsidRPr="00FF6F16" w:rsidRDefault="003F35BA" w:rsidP="003F35BA">
            <w:r w:rsidRPr="00FF6F16">
              <w:rPr>
                <w:rFonts w:hint="eastAsia"/>
              </w:rPr>
              <w:t>公共施設である工作物</w:t>
            </w:r>
          </w:p>
        </w:tc>
        <w:tc>
          <w:tcPr>
            <w:tcW w:w="5387" w:type="dxa"/>
            <w:vAlign w:val="center"/>
          </w:tcPr>
          <w:p w14:paraId="2E444E5A" w14:textId="77777777" w:rsidR="003F35BA" w:rsidRPr="00FF6F16" w:rsidRDefault="003F35BA" w:rsidP="003F35BA">
            <w:r w:rsidRPr="00FF6F16">
              <w:rPr>
                <w:rFonts w:hint="eastAsia"/>
              </w:rPr>
              <w:t>ベンチ、外構施設等</w:t>
            </w:r>
          </w:p>
        </w:tc>
      </w:tr>
      <w:tr w:rsidR="003F35BA" w:rsidRPr="00FF6F16" w14:paraId="6D10B740" w14:textId="77777777" w:rsidTr="00A538DB">
        <w:trPr>
          <w:trHeight w:val="397"/>
        </w:trPr>
        <w:tc>
          <w:tcPr>
            <w:tcW w:w="2976" w:type="dxa"/>
            <w:vAlign w:val="center"/>
          </w:tcPr>
          <w:p w14:paraId="4B86454B" w14:textId="77777777" w:rsidR="003F35BA" w:rsidRPr="00FF6F16" w:rsidRDefault="003F35BA" w:rsidP="003F35BA">
            <w:r w:rsidRPr="00FF6F16">
              <w:rPr>
                <w:rFonts w:hint="eastAsia"/>
              </w:rPr>
              <w:t>その他</w:t>
            </w:r>
          </w:p>
        </w:tc>
        <w:tc>
          <w:tcPr>
            <w:tcW w:w="5387" w:type="dxa"/>
            <w:vAlign w:val="center"/>
          </w:tcPr>
          <w:p w14:paraId="791D1DE4" w14:textId="77777777" w:rsidR="003F35BA" w:rsidRPr="00FF6F16" w:rsidRDefault="003F35BA" w:rsidP="003F35BA">
            <w:r w:rsidRPr="00FF6F16">
              <w:rPr>
                <w:rFonts w:hint="eastAsia"/>
              </w:rPr>
              <w:t>公共交通機関の旅客施設、高速道路の休憩所等</w:t>
            </w:r>
          </w:p>
        </w:tc>
      </w:tr>
    </w:tbl>
    <w:p w14:paraId="3553032B" w14:textId="77777777" w:rsidR="003F35BA" w:rsidRPr="00FF6F16" w:rsidRDefault="003F35BA" w:rsidP="003F35BA"/>
    <w:p w14:paraId="4CAD5845" w14:textId="3ECBD136" w:rsidR="003F35BA" w:rsidRPr="00FF6F16" w:rsidRDefault="003F35BA" w:rsidP="003F35BA">
      <w:r w:rsidRPr="00FF6F16">
        <w:rPr>
          <w:rFonts w:hint="eastAsia"/>
        </w:rPr>
        <w:t>（２）地元産材利用</w:t>
      </w:r>
      <w:r w:rsidR="00211225" w:rsidRPr="00FF6F16">
        <w:rPr>
          <w:rFonts w:hint="eastAsia"/>
        </w:rPr>
        <w:t>の</w:t>
      </w:r>
      <w:r w:rsidRPr="00FF6F16">
        <w:rPr>
          <w:rFonts w:hint="eastAsia"/>
        </w:rPr>
        <w:t>促進に向けた取り組み</w:t>
      </w:r>
    </w:p>
    <w:p w14:paraId="31202C21" w14:textId="77777777" w:rsidR="003F35BA" w:rsidRPr="00FF6F16" w:rsidRDefault="003F35BA" w:rsidP="001D23F2">
      <w:pPr>
        <w:ind w:firstLineChars="200" w:firstLine="420"/>
      </w:pPr>
      <w:r w:rsidRPr="00FF6F16">
        <w:rPr>
          <w:rFonts w:hint="eastAsia"/>
        </w:rPr>
        <w:lastRenderedPageBreak/>
        <w:t>ア　市の取り組み</w:t>
      </w:r>
    </w:p>
    <w:p w14:paraId="3A49B865" w14:textId="26A8CCE2" w:rsidR="003F35BA" w:rsidRPr="00FF6F16" w:rsidRDefault="003F35BA" w:rsidP="001D23F2">
      <w:pPr>
        <w:ind w:left="420" w:hangingChars="200" w:hanging="420"/>
      </w:pPr>
      <w:r w:rsidRPr="00FF6F16">
        <w:rPr>
          <w:rFonts w:hint="eastAsia"/>
        </w:rPr>
        <w:t xml:space="preserve">　</w:t>
      </w:r>
      <w:r w:rsidR="001D23F2" w:rsidRPr="00FF6F16">
        <w:rPr>
          <w:rFonts w:hint="eastAsia"/>
        </w:rPr>
        <w:t xml:space="preserve">　　</w:t>
      </w:r>
      <w:r w:rsidRPr="00FF6F16">
        <w:rPr>
          <w:rFonts w:hint="eastAsia"/>
        </w:rPr>
        <w:t>市は率先して公共建築物等における木材の利用に努めるとともに、民間団体その他の関係者の協力も得つつ、地元産材の利用促進に関する施策の効果的な推進を図る。</w:t>
      </w:r>
    </w:p>
    <w:p w14:paraId="3933BC54" w14:textId="574210CF" w:rsidR="003F35BA" w:rsidRPr="00FF6F16" w:rsidRDefault="003F35BA" w:rsidP="00E0219C">
      <w:pPr>
        <w:ind w:firstLineChars="200" w:firstLine="420"/>
      </w:pPr>
      <w:r w:rsidRPr="00FF6F16">
        <w:rPr>
          <w:rFonts w:hint="eastAsia"/>
        </w:rPr>
        <w:t>（ア）地元産材利用</w:t>
      </w:r>
      <w:r w:rsidR="00211225" w:rsidRPr="00FF6F16">
        <w:rPr>
          <w:rFonts w:hint="eastAsia"/>
        </w:rPr>
        <w:t>の</w:t>
      </w:r>
      <w:r w:rsidRPr="00FF6F16">
        <w:rPr>
          <w:rFonts w:hint="eastAsia"/>
        </w:rPr>
        <w:t>促進のための行動計画の策定</w:t>
      </w:r>
    </w:p>
    <w:p w14:paraId="10CCC0DB" w14:textId="77777777" w:rsidR="003F35BA" w:rsidRPr="00FF6F16" w:rsidRDefault="003F35BA" w:rsidP="00E0219C">
      <w:pPr>
        <w:ind w:firstLineChars="200" w:firstLine="420"/>
      </w:pPr>
      <w:r w:rsidRPr="00FF6F16">
        <w:rPr>
          <w:rFonts w:hint="eastAsia"/>
        </w:rPr>
        <w:t>（イ）地元産材木材の供給体制の整備</w:t>
      </w:r>
    </w:p>
    <w:p w14:paraId="1A0F38F9" w14:textId="1C8BB748" w:rsidR="003F35BA" w:rsidRPr="00FF6F16" w:rsidRDefault="003F35BA" w:rsidP="00E0219C">
      <w:pPr>
        <w:ind w:leftChars="200" w:left="840" w:hangingChars="200" w:hanging="420"/>
      </w:pPr>
      <w:r w:rsidRPr="00FF6F16">
        <w:rPr>
          <w:rFonts w:hint="eastAsia"/>
        </w:rPr>
        <w:t>（ウ）地元産材利用の具体的な事例や建築コスト、木材の調達方法等に関する情報の収集・分析・提供等</w:t>
      </w:r>
    </w:p>
    <w:p w14:paraId="550970C3" w14:textId="77777777" w:rsidR="003F35BA" w:rsidRPr="00FF6F16" w:rsidRDefault="003F35BA" w:rsidP="00E0219C">
      <w:pPr>
        <w:ind w:firstLineChars="200" w:firstLine="420"/>
      </w:pPr>
      <w:r w:rsidRPr="00FF6F16">
        <w:rPr>
          <w:rFonts w:hint="eastAsia"/>
        </w:rPr>
        <w:t>（エ）建築物木材利用促進協定制度及び補助事業の周知等</w:t>
      </w:r>
    </w:p>
    <w:p w14:paraId="6637CD8B" w14:textId="09E768B5" w:rsidR="003F35BA" w:rsidRPr="00FF6F16" w:rsidRDefault="003F35BA" w:rsidP="00E0219C">
      <w:pPr>
        <w:ind w:leftChars="200" w:left="840" w:hangingChars="200" w:hanging="420"/>
      </w:pPr>
      <w:r w:rsidRPr="00FF6F16">
        <w:rPr>
          <w:rFonts w:hint="eastAsia"/>
        </w:rPr>
        <w:t>（</w:t>
      </w:r>
      <w:r w:rsidRPr="00FF6F16">
        <w:t>オ）</w:t>
      </w:r>
      <w:r w:rsidRPr="00FF6F16">
        <w:rPr>
          <w:rFonts w:hint="eastAsia"/>
        </w:rPr>
        <w:t>公共土木工事においては、自然景観や環境に配慮しつつ間伐材をはじめとする地元産材</w:t>
      </w:r>
      <w:r w:rsidR="00C87656" w:rsidRPr="00FF6F16">
        <w:rPr>
          <w:rFonts w:hint="eastAsia"/>
        </w:rPr>
        <w:t>の</w:t>
      </w:r>
      <w:r w:rsidRPr="00FF6F16">
        <w:rPr>
          <w:rFonts w:hint="eastAsia"/>
        </w:rPr>
        <w:t>活用</w:t>
      </w:r>
      <w:r w:rsidR="00C87656" w:rsidRPr="00FF6F16">
        <w:rPr>
          <w:rFonts w:hint="eastAsia"/>
        </w:rPr>
        <w:t>を検討</w:t>
      </w:r>
    </w:p>
    <w:p w14:paraId="05D52C22" w14:textId="51D0FD18" w:rsidR="003F35BA" w:rsidRPr="00FF6F16" w:rsidRDefault="003F35BA" w:rsidP="00E0219C">
      <w:pPr>
        <w:ind w:leftChars="200" w:left="840" w:hangingChars="200" w:hanging="420"/>
      </w:pPr>
      <w:r w:rsidRPr="00FF6F16">
        <w:rPr>
          <w:rFonts w:hint="eastAsia"/>
        </w:rPr>
        <w:t>（</w:t>
      </w:r>
      <w:r w:rsidRPr="00FF6F16">
        <w:t>カ）</w:t>
      </w:r>
      <w:r w:rsidRPr="00FF6F16">
        <w:rPr>
          <w:rFonts w:hint="eastAsia"/>
        </w:rPr>
        <w:t>木材を原材料とした備品及び消耗品の利用を</w:t>
      </w:r>
      <w:r w:rsidR="00C87656" w:rsidRPr="00FF6F16">
        <w:rPr>
          <w:rFonts w:hint="eastAsia"/>
        </w:rPr>
        <w:t>検討</w:t>
      </w:r>
      <w:r w:rsidRPr="00FF6F16">
        <w:rPr>
          <w:rFonts w:hint="eastAsia"/>
        </w:rPr>
        <w:t>するほか、ボイラー等を設置する場合は、木質バイオマスを燃料とするものの利用を</w:t>
      </w:r>
      <w:r w:rsidR="00C87656" w:rsidRPr="00FF6F16">
        <w:rPr>
          <w:rFonts w:hint="eastAsia"/>
        </w:rPr>
        <w:t>検討</w:t>
      </w:r>
    </w:p>
    <w:p w14:paraId="5E0AD7A3" w14:textId="77777777" w:rsidR="00E0219C" w:rsidRPr="00FF6F16" w:rsidRDefault="00E0219C" w:rsidP="00E0219C">
      <w:pPr>
        <w:ind w:leftChars="200" w:left="840" w:hangingChars="200" w:hanging="420"/>
      </w:pPr>
    </w:p>
    <w:p w14:paraId="60FF6666" w14:textId="77777777" w:rsidR="003F35BA" w:rsidRPr="00FF6F16" w:rsidRDefault="003F35BA" w:rsidP="00E0219C">
      <w:pPr>
        <w:ind w:firstLineChars="100" w:firstLine="210"/>
      </w:pPr>
      <w:r w:rsidRPr="00FF6F16">
        <w:rPr>
          <w:rFonts w:hint="eastAsia"/>
        </w:rPr>
        <w:t>イ　関係者の適切な役割分担と関係者相互の連携した取り組み</w:t>
      </w:r>
    </w:p>
    <w:p w14:paraId="41083D42" w14:textId="77777777" w:rsidR="003F35BA" w:rsidRPr="00FF6F16" w:rsidRDefault="003F35BA" w:rsidP="00E0219C">
      <w:pPr>
        <w:ind w:left="210" w:hangingChars="100" w:hanging="210"/>
      </w:pPr>
      <w:r w:rsidRPr="00FF6F16">
        <w:rPr>
          <w:rFonts w:hint="eastAsia"/>
        </w:rPr>
        <w:t xml:space="preserve">　</w:t>
      </w:r>
      <w:r w:rsidR="00E0219C" w:rsidRPr="00FF6F16">
        <w:rPr>
          <w:rFonts w:hint="eastAsia"/>
        </w:rPr>
        <w:t xml:space="preserve">　</w:t>
      </w:r>
      <w:r w:rsidRPr="00FF6F16">
        <w:rPr>
          <w:rFonts w:hint="eastAsia"/>
        </w:rPr>
        <w:t>建築物を整備する民間事業者、建築士、建設業者、林業事業体、木材加工業者その他の関係者は、本方針を踏まえ、市が実施する施策に協力するとともに、次に掲げる事項に取り組むものとする。</w:t>
      </w:r>
    </w:p>
    <w:p w14:paraId="7422DD86" w14:textId="77777777" w:rsidR="003F35BA" w:rsidRPr="00FF6F16" w:rsidRDefault="003F35BA" w:rsidP="00E0219C">
      <w:pPr>
        <w:ind w:leftChars="200" w:left="840" w:hangingChars="200" w:hanging="420"/>
      </w:pPr>
      <w:r w:rsidRPr="00FF6F16">
        <w:rPr>
          <w:rFonts w:hint="eastAsia"/>
        </w:rPr>
        <w:t>（ア）公共建築物等における木材の利用の意義等についての理解を深めるとともに、積極的に木材を利用するよう努める。（建築物を整備する民間事業者、建築士、建設業者）</w:t>
      </w:r>
    </w:p>
    <w:p w14:paraId="789941A2" w14:textId="77777777" w:rsidR="003F35BA" w:rsidRPr="00FF6F16" w:rsidRDefault="003F35BA" w:rsidP="00E0219C">
      <w:pPr>
        <w:ind w:leftChars="200" w:left="840" w:hangingChars="200" w:hanging="420"/>
      </w:pPr>
      <w:r w:rsidRPr="00FF6F16">
        <w:rPr>
          <w:rFonts w:hint="eastAsia"/>
        </w:rPr>
        <w:t>（イ）市や建築物を整備する民間事業者のニーズを的確に把握するとともに、そのニーズに対応した木材の供給およびその品質、価格等に関する正確な情報の提供、木材の具体な利用方法の提案に努める。（林業事業者、木材加工業者、その他の関係者）</w:t>
      </w:r>
    </w:p>
    <w:p w14:paraId="2A77C9AE" w14:textId="77777777" w:rsidR="003F35BA" w:rsidRPr="00FF6F16" w:rsidRDefault="003F35BA" w:rsidP="003F35BA"/>
    <w:p w14:paraId="5080EC5B" w14:textId="77777777" w:rsidR="003F35BA" w:rsidRPr="00FF6F16" w:rsidRDefault="003F35BA" w:rsidP="003F35BA">
      <w:r w:rsidRPr="00FF6F16">
        <w:rPr>
          <w:rFonts w:hint="eastAsia"/>
        </w:rPr>
        <w:t>（３）公共建築物における木材利用の目標の設定</w:t>
      </w:r>
    </w:p>
    <w:p w14:paraId="7CF83838" w14:textId="77777777" w:rsidR="003F35BA" w:rsidRPr="00FF6F16" w:rsidRDefault="003F35BA" w:rsidP="00E0219C">
      <w:pPr>
        <w:ind w:firstLineChars="200" w:firstLine="420"/>
      </w:pPr>
      <w:r w:rsidRPr="00FF6F16">
        <w:rPr>
          <w:rFonts w:hint="eastAsia"/>
        </w:rPr>
        <w:t>公共建築物に使用する木材は、原則として地元産材とすることを目標とする。</w:t>
      </w:r>
    </w:p>
    <w:p w14:paraId="5991C264" w14:textId="1CD17FF9" w:rsidR="003F35BA" w:rsidRPr="00FF6F16" w:rsidRDefault="003F35BA" w:rsidP="00C87656">
      <w:pPr>
        <w:ind w:leftChars="100" w:left="210" w:firstLineChars="100" w:firstLine="210"/>
      </w:pPr>
      <w:r w:rsidRPr="00FF6F16">
        <w:rPr>
          <w:rFonts w:hint="eastAsia"/>
        </w:rPr>
        <w:t>また、公共建築物における木造率等の目標については、別に定める</w:t>
      </w:r>
      <w:r w:rsidR="001A3613" w:rsidRPr="00FF6F16">
        <w:rPr>
          <w:rFonts w:hint="eastAsia"/>
        </w:rPr>
        <w:t>が、</w:t>
      </w:r>
      <w:r w:rsidR="00C87656" w:rsidRPr="00FF6F16">
        <w:rPr>
          <w:rFonts w:hint="eastAsia"/>
        </w:rPr>
        <w:t>民間が整備する公共</w:t>
      </w:r>
      <w:r w:rsidR="001A3613" w:rsidRPr="00FF6F16">
        <w:rPr>
          <w:rFonts w:hint="eastAsia"/>
        </w:rPr>
        <w:t>性の高い</w:t>
      </w:r>
      <w:r w:rsidR="00C87656" w:rsidRPr="00FF6F16">
        <w:rPr>
          <w:rFonts w:hint="eastAsia"/>
        </w:rPr>
        <w:t>建築物について</w:t>
      </w:r>
      <w:r w:rsidR="003F0828" w:rsidRPr="00FF6F16">
        <w:rPr>
          <w:rFonts w:hint="eastAsia"/>
        </w:rPr>
        <w:t>は</w:t>
      </w:r>
      <w:r w:rsidR="00C87656" w:rsidRPr="00FF6F16">
        <w:rPr>
          <w:rFonts w:hint="eastAsia"/>
        </w:rPr>
        <w:t>、木造率</w:t>
      </w:r>
      <w:r w:rsidR="003F0828" w:rsidRPr="00FF6F16">
        <w:rPr>
          <w:rFonts w:hint="eastAsia"/>
        </w:rPr>
        <w:t>等</w:t>
      </w:r>
      <w:r w:rsidR="00C87656" w:rsidRPr="00FF6F16">
        <w:rPr>
          <w:rFonts w:hint="eastAsia"/>
        </w:rPr>
        <w:t>の算定が困難</w:t>
      </w:r>
      <w:r w:rsidR="003F0828" w:rsidRPr="00FF6F16">
        <w:rPr>
          <w:rFonts w:hint="eastAsia"/>
        </w:rPr>
        <w:t>で</w:t>
      </w:r>
      <w:r w:rsidR="00B817B8" w:rsidRPr="00FF6F16">
        <w:rPr>
          <w:rFonts w:hint="eastAsia"/>
        </w:rPr>
        <w:t>あるため</w:t>
      </w:r>
      <w:r w:rsidR="00C87656" w:rsidRPr="00FF6F16">
        <w:rPr>
          <w:rFonts w:hint="eastAsia"/>
        </w:rPr>
        <w:t>、</w:t>
      </w:r>
      <w:r w:rsidR="00B817B8" w:rsidRPr="00FF6F16">
        <w:rPr>
          <w:rFonts w:hint="eastAsia"/>
        </w:rPr>
        <w:t>当面の間は、</w:t>
      </w:r>
      <w:r w:rsidR="00C87656" w:rsidRPr="00FF6F16">
        <w:rPr>
          <w:rFonts w:hint="eastAsia"/>
        </w:rPr>
        <w:t>国・県及び市</w:t>
      </w:r>
      <w:r w:rsidR="001A3613" w:rsidRPr="00FF6F16">
        <w:rPr>
          <w:rFonts w:hint="eastAsia"/>
        </w:rPr>
        <w:t>の</w:t>
      </w:r>
      <w:r w:rsidR="00C87656" w:rsidRPr="00FF6F16">
        <w:rPr>
          <w:rFonts w:hint="eastAsia"/>
        </w:rPr>
        <w:t>補助事業を</w:t>
      </w:r>
      <w:r w:rsidR="003F0828" w:rsidRPr="00FF6F16">
        <w:rPr>
          <w:rFonts w:hint="eastAsia"/>
        </w:rPr>
        <w:t>活用した施設についてのみ</w:t>
      </w:r>
      <w:r w:rsidR="00B817B8" w:rsidRPr="00FF6F16">
        <w:rPr>
          <w:rFonts w:hint="eastAsia"/>
        </w:rPr>
        <w:t>把握する。</w:t>
      </w:r>
    </w:p>
    <w:p w14:paraId="47DB4E85" w14:textId="77777777" w:rsidR="003F35BA" w:rsidRPr="00FF6F16" w:rsidRDefault="003F35BA" w:rsidP="003F35BA"/>
    <w:p w14:paraId="43601623" w14:textId="77777777" w:rsidR="003F35BA" w:rsidRPr="00FF6F16" w:rsidRDefault="003F35BA" w:rsidP="003F35BA"/>
    <w:p w14:paraId="583E240A" w14:textId="3668C047" w:rsidR="003F35BA" w:rsidRPr="00FF6F16" w:rsidRDefault="00072036" w:rsidP="003F35BA">
      <w:pPr>
        <w:rPr>
          <w:b/>
        </w:rPr>
      </w:pPr>
      <w:r w:rsidRPr="00FF6F16">
        <w:rPr>
          <w:rFonts w:hint="eastAsia"/>
          <w:b/>
        </w:rPr>
        <w:t>４</w:t>
      </w:r>
      <w:r w:rsidR="003F35BA" w:rsidRPr="00FF6F16">
        <w:rPr>
          <w:rFonts w:hint="eastAsia"/>
          <w:b/>
        </w:rPr>
        <w:t xml:space="preserve">　市内の民間事業者</w:t>
      </w:r>
      <w:r w:rsidR="005F0574" w:rsidRPr="00FF6F16">
        <w:rPr>
          <w:rFonts w:hint="eastAsia"/>
          <w:b/>
        </w:rPr>
        <w:t>が実施する</w:t>
      </w:r>
      <w:r w:rsidRPr="00FF6F16">
        <w:rPr>
          <w:rFonts w:hint="eastAsia"/>
          <w:b/>
        </w:rPr>
        <w:t>施設整備に</w:t>
      </w:r>
      <w:r w:rsidR="00A3026F" w:rsidRPr="00FF6F16">
        <w:rPr>
          <w:rFonts w:hint="eastAsia"/>
          <w:b/>
        </w:rPr>
        <w:t>対する</w:t>
      </w:r>
      <w:r w:rsidRPr="00FF6F16">
        <w:rPr>
          <w:b/>
        </w:rPr>
        <w:t>木材</w:t>
      </w:r>
      <w:r w:rsidR="003F35BA" w:rsidRPr="00FF6F16">
        <w:rPr>
          <w:rFonts w:hint="eastAsia"/>
          <w:b/>
        </w:rPr>
        <w:t>利用の促進</w:t>
      </w:r>
    </w:p>
    <w:p w14:paraId="62F97FFA" w14:textId="77777777" w:rsidR="003F35BA" w:rsidRPr="00FF6F16" w:rsidRDefault="003F35BA" w:rsidP="003F35BA">
      <w:r w:rsidRPr="00FF6F16">
        <w:rPr>
          <w:rFonts w:hint="eastAsia"/>
        </w:rPr>
        <w:t>（１）地元産材利用のＰＲ及び普及の推進</w:t>
      </w:r>
    </w:p>
    <w:p w14:paraId="18AF8CB0" w14:textId="77777777" w:rsidR="003F35BA" w:rsidRPr="00FF6F16" w:rsidRDefault="003F35BA" w:rsidP="00E0219C">
      <w:pPr>
        <w:ind w:leftChars="100" w:left="210" w:firstLineChars="100" w:firstLine="210"/>
      </w:pPr>
      <w:r w:rsidRPr="00FF6F16">
        <w:rPr>
          <w:rFonts w:hint="eastAsia"/>
        </w:rPr>
        <w:t>本市は、民間事業者が整備する公共的建築物等についても、この方針の趣旨を踏まえ、その整備主体に地元産材の使用を働きかけ、地元産材の利用を促進するための誘導に努める。また、地元産材の積極的な利用の促進に理解と協力が得られるよう幅広く呼びかける。</w:t>
      </w:r>
    </w:p>
    <w:p w14:paraId="21B500E0" w14:textId="0683DD5B" w:rsidR="003F35BA" w:rsidRPr="00FF6F16" w:rsidRDefault="003F35BA" w:rsidP="003F35BA">
      <w:r w:rsidRPr="00FF6F16">
        <w:rPr>
          <w:rFonts w:hint="eastAsia"/>
        </w:rPr>
        <w:t>（２）</w:t>
      </w:r>
      <w:r w:rsidR="00072036" w:rsidRPr="00FF6F16">
        <w:t>支援</w:t>
      </w:r>
      <w:r w:rsidR="00B817B8" w:rsidRPr="00FF6F16">
        <w:rPr>
          <w:rFonts w:hint="eastAsia"/>
        </w:rPr>
        <w:t>体制</w:t>
      </w:r>
    </w:p>
    <w:p w14:paraId="37EF490C" w14:textId="730C36EC" w:rsidR="003F35BA" w:rsidRPr="00FF6F16" w:rsidRDefault="003F35BA" w:rsidP="00E0219C">
      <w:pPr>
        <w:ind w:leftChars="100" w:left="210" w:firstLineChars="100" w:firstLine="210"/>
      </w:pPr>
      <w:r w:rsidRPr="00FF6F16">
        <w:rPr>
          <w:rFonts w:hint="eastAsia"/>
        </w:rPr>
        <w:t>木造化・木質化に関する情報</w:t>
      </w:r>
      <w:r w:rsidR="00B817B8" w:rsidRPr="00FF6F16">
        <w:rPr>
          <w:rFonts w:hint="eastAsia"/>
        </w:rPr>
        <w:t>及び</w:t>
      </w:r>
      <w:r w:rsidRPr="00FF6F16">
        <w:rPr>
          <w:rFonts w:hint="eastAsia"/>
        </w:rPr>
        <w:t>木材</w:t>
      </w:r>
      <w:r w:rsidR="00A3026F" w:rsidRPr="00FF6F16">
        <w:rPr>
          <w:rFonts w:hint="eastAsia"/>
        </w:rPr>
        <w:t>を</w:t>
      </w:r>
      <w:r w:rsidRPr="00FF6F16">
        <w:rPr>
          <w:rFonts w:hint="eastAsia"/>
        </w:rPr>
        <w:t>利用</w:t>
      </w:r>
      <w:r w:rsidR="00A3026F" w:rsidRPr="00FF6F16">
        <w:rPr>
          <w:rFonts w:hint="eastAsia"/>
        </w:rPr>
        <w:t>した公共建築物</w:t>
      </w:r>
      <w:r w:rsidRPr="00FF6F16">
        <w:rPr>
          <w:rFonts w:hint="eastAsia"/>
        </w:rPr>
        <w:t>に</w:t>
      </w:r>
      <w:r w:rsidR="00A3026F" w:rsidRPr="00FF6F16">
        <w:rPr>
          <w:rFonts w:hint="eastAsia"/>
        </w:rPr>
        <w:t>対</w:t>
      </w:r>
      <w:r w:rsidRPr="00FF6F16">
        <w:rPr>
          <w:rFonts w:hint="eastAsia"/>
        </w:rPr>
        <w:t>する</w:t>
      </w:r>
      <w:r w:rsidR="00A3026F" w:rsidRPr="00FF6F16">
        <w:rPr>
          <w:rFonts w:hint="eastAsia"/>
        </w:rPr>
        <w:t>補助事業、</w:t>
      </w:r>
      <w:r w:rsidRPr="00FF6F16">
        <w:rPr>
          <w:rFonts w:hint="eastAsia"/>
        </w:rPr>
        <w:t>技術的情報の提供の周知等に取り組むなど、必要な支援を行うものとする。</w:t>
      </w:r>
    </w:p>
    <w:p w14:paraId="71D2299F" w14:textId="77777777" w:rsidR="003F35BA" w:rsidRPr="00FF6F16" w:rsidRDefault="003F35BA" w:rsidP="003F35BA"/>
    <w:p w14:paraId="2693B7EB" w14:textId="77777777" w:rsidR="003F35BA" w:rsidRPr="00FF6F16" w:rsidRDefault="00072036" w:rsidP="003F35BA">
      <w:pPr>
        <w:rPr>
          <w:b/>
        </w:rPr>
      </w:pPr>
      <w:r w:rsidRPr="00FF6F16">
        <w:rPr>
          <w:rFonts w:hint="eastAsia"/>
          <w:b/>
        </w:rPr>
        <w:lastRenderedPageBreak/>
        <w:t>５</w:t>
      </w:r>
      <w:r w:rsidR="003F35BA" w:rsidRPr="00FF6F16">
        <w:rPr>
          <w:rFonts w:hint="eastAsia"/>
          <w:b/>
        </w:rPr>
        <w:t xml:space="preserve">　市民への理解の醸成</w:t>
      </w:r>
    </w:p>
    <w:p w14:paraId="0C036F4B" w14:textId="77777777" w:rsidR="003F35BA" w:rsidRPr="00FF6F16" w:rsidRDefault="003F35BA" w:rsidP="00951F4B">
      <w:pPr>
        <w:ind w:firstLineChars="100" w:firstLine="210"/>
      </w:pPr>
      <w:r w:rsidRPr="00FF6F16">
        <w:rPr>
          <w:rFonts w:hint="eastAsia"/>
        </w:rPr>
        <w:t>建築物における木材の利用を広く効果的に促進するためには、市民の理解の醸成が不可欠であることから、本市は、建築物における木材の利用の促進の意義等について市民に分かりやすく示すよう努めるものとする。</w:t>
      </w:r>
    </w:p>
    <w:p w14:paraId="7AD13735" w14:textId="77777777" w:rsidR="003F35BA" w:rsidRPr="00FF6F16" w:rsidRDefault="003F35BA" w:rsidP="00951F4B">
      <w:pPr>
        <w:ind w:firstLineChars="100" w:firstLine="210"/>
      </w:pPr>
      <w:r w:rsidRPr="00FF6F16">
        <w:rPr>
          <w:rFonts w:hint="eastAsia"/>
        </w:rPr>
        <w:t>特に木材利用促進の日（毎年</w:t>
      </w:r>
      <w:r w:rsidRPr="00FF6F16">
        <w:t>10</w:t>
      </w:r>
      <w:r w:rsidRPr="00FF6F16">
        <w:rPr>
          <w:rFonts w:hint="eastAsia"/>
        </w:rPr>
        <w:t>月</w:t>
      </w:r>
      <w:r w:rsidRPr="00FF6F16">
        <w:rPr>
          <w:rFonts w:hint="eastAsia"/>
        </w:rPr>
        <w:t>8</w:t>
      </w:r>
      <w:r w:rsidRPr="00FF6F16">
        <w:rPr>
          <w:rFonts w:hint="eastAsia"/>
        </w:rPr>
        <w:t>日）及び木材利用促進月間（毎年</w:t>
      </w:r>
      <w:r w:rsidRPr="00FF6F16">
        <w:t>10</w:t>
      </w:r>
      <w:r w:rsidRPr="00FF6F16">
        <w:rPr>
          <w:rFonts w:hint="eastAsia"/>
        </w:rPr>
        <w:t>月）において重点的に、木材利用関係者が連携し、建築物における木材利用の意義について、多くの市民の理解が得られるよう、積極的に普及啓発に取り組むものとする。</w:t>
      </w:r>
    </w:p>
    <w:p w14:paraId="473FD77A" w14:textId="77777777" w:rsidR="003F35BA" w:rsidRPr="00FF6F16" w:rsidRDefault="003F35BA" w:rsidP="003F35BA"/>
    <w:p w14:paraId="773A3A75" w14:textId="77777777" w:rsidR="003F35BA" w:rsidRPr="00FF6F16" w:rsidRDefault="00072036" w:rsidP="003F35BA">
      <w:pPr>
        <w:rPr>
          <w:b/>
        </w:rPr>
      </w:pPr>
      <w:r w:rsidRPr="00FF6F16">
        <w:rPr>
          <w:rFonts w:hint="eastAsia"/>
          <w:b/>
        </w:rPr>
        <w:t>６</w:t>
      </w:r>
      <w:r w:rsidR="003F35BA" w:rsidRPr="00FF6F16">
        <w:rPr>
          <w:rFonts w:hint="eastAsia"/>
          <w:b/>
        </w:rPr>
        <w:t xml:space="preserve">　期待される効果</w:t>
      </w:r>
    </w:p>
    <w:p w14:paraId="0FE1A43A" w14:textId="77777777" w:rsidR="003F35BA" w:rsidRPr="00FF6F16" w:rsidRDefault="003F35BA" w:rsidP="00951F4B">
      <w:pPr>
        <w:ind w:firstLineChars="100" w:firstLine="210"/>
      </w:pPr>
      <w:r w:rsidRPr="00FF6F16">
        <w:rPr>
          <w:rFonts w:hint="eastAsia"/>
        </w:rPr>
        <w:t>本方針に基づき、民間における建築物等に地元産材の利用が推進されることにより、林業・木材産業の活性化はもとより森林の適正な整備・保全が図られ、脱炭素社会の実現や山村地域の活性化等に資することが期待される。</w:t>
      </w:r>
    </w:p>
    <w:p w14:paraId="5E65F326" w14:textId="77777777" w:rsidR="003F35BA" w:rsidRPr="00FF6F16" w:rsidRDefault="003F35BA" w:rsidP="003F35BA"/>
    <w:p w14:paraId="082DEDD9" w14:textId="77777777" w:rsidR="003F35BA" w:rsidRPr="00FF6F16" w:rsidRDefault="003F35BA" w:rsidP="003F35BA"/>
    <w:p w14:paraId="650A46AB" w14:textId="77777777" w:rsidR="003F35BA" w:rsidRPr="00FF6F16" w:rsidRDefault="003F35BA" w:rsidP="003F35BA"/>
    <w:p w14:paraId="5645E7BC" w14:textId="77777777" w:rsidR="003F35BA" w:rsidRPr="00FF6F16" w:rsidRDefault="003F35BA" w:rsidP="003F35BA"/>
    <w:p w14:paraId="52D7FA6D" w14:textId="77777777" w:rsidR="00E0219C" w:rsidRPr="00FF6F16" w:rsidRDefault="00E0219C" w:rsidP="003F35BA"/>
    <w:p w14:paraId="42AF0D5A" w14:textId="77777777" w:rsidR="00E0219C" w:rsidRPr="00FF6F16" w:rsidRDefault="00E0219C" w:rsidP="003F35BA"/>
    <w:p w14:paraId="50A002CC" w14:textId="77777777" w:rsidR="00E0219C" w:rsidRPr="00FF6F16" w:rsidRDefault="00E0219C" w:rsidP="003F35BA"/>
    <w:p w14:paraId="2598226E" w14:textId="77777777" w:rsidR="00E0219C" w:rsidRPr="00FF6F16" w:rsidRDefault="00E0219C" w:rsidP="003F35BA"/>
    <w:p w14:paraId="586D9307" w14:textId="77777777" w:rsidR="00E0219C" w:rsidRPr="00FF6F16" w:rsidRDefault="00E0219C" w:rsidP="003F35BA"/>
    <w:p w14:paraId="7EAE4ECD" w14:textId="77777777" w:rsidR="00E0219C" w:rsidRPr="00FF6F16" w:rsidRDefault="00E0219C" w:rsidP="003F35BA"/>
    <w:p w14:paraId="001217D2" w14:textId="77777777" w:rsidR="00E0219C" w:rsidRPr="00FF6F16" w:rsidRDefault="00E0219C" w:rsidP="003F35BA"/>
    <w:p w14:paraId="512884D1" w14:textId="77777777" w:rsidR="00E0219C" w:rsidRPr="00FF6F16" w:rsidRDefault="00E0219C" w:rsidP="003F35BA"/>
    <w:p w14:paraId="1A7C223E" w14:textId="77777777" w:rsidR="00E0219C" w:rsidRPr="00FF6F16" w:rsidRDefault="00E0219C" w:rsidP="003F35BA"/>
    <w:p w14:paraId="273A5D3F" w14:textId="77777777" w:rsidR="00E0219C" w:rsidRPr="00FF6F16" w:rsidRDefault="00E0219C" w:rsidP="003F35BA"/>
    <w:p w14:paraId="0518009F" w14:textId="77777777" w:rsidR="00E0219C" w:rsidRPr="00FF6F16" w:rsidRDefault="00E0219C" w:rsidP="003F35BA"/>
    <w:p w14:paraId="04DC9939" w14:textId="77777777" w:rsidR="00E0219C" w:rsidRPr="00FF6F16" w:rsidRDefault="00E0219C" w:rsidP="003F35BA"/>
    <w:p w14:paraId="1DEEE1CC" w14:textId="77777777" w:rsidR="00E0219C" w:rsidRPr="00FF6F16" w:rsidRDefault="00E0219C" w:rsidP="003F35BA"/>
    <w:p w14:paraId="70590A86" w14:textId="77777777" w:rsidR="00E0219C" w:rsidRPr="00FF6F16" w:rsidRDefault="00E0219C" w:rsidP="003F35BA"/>
    <w:p w14:paraId="22F5B875" w14:textId="77777777" w:rsidR="00E0219C" w:rsidRPr="00FF6F16" w:rsidRDefault="00E0219C" w:rsidP="003F35BA"/>
    <w:p w14:paraId="47B22B0F" w14:textId="77777777" w:rsidR="00E0219C" w:rsidRPr="00FF6F16" w:rsidRDefault="00E0219C" w:rsidP="003F35BA"/>
    <w:p w14:paraId="192AAE07" w14:textId="77777777" w:rsidR="00E0219C" w:rsidRPr="00FF6F16" w:rsidRDefault="00E0219C" w:rsidP="003F35BA"/>
    <w:p w14:paraId="1562F246" w14:textId="77777777" w:rsidR="00E0219C" w:rsidRPr="00FF6F16" w:rsidRDefault="00E0219C" w:rsidP="003F35BA"/>
    <w:p w14:paraId="349DA492" w14:textId="77777777" w:rsidR="00352DED" w:rsidRPr="00FF6F16" w:rsidRDefault="00352DED" w:rsidP="003F35BA"/>
    <w:p w14:paraId="2B2DEBD4" w14:textId="77777777" w:rsidR="00352DED" w:rsidRPr="00FF6F16" w:rsidRDefault="00352DED" w:rsidP="003F35BA"/>
    <w:p w14:paraId="75834B31" w14:textId="77777777" w:rsidR="00211225" w:rsidRPr="00FF6F16" w:rsidRDefault="00211225" w:rsidP="003F35BA">
      <w:pPr>
        <w:jc w:val="center"/>
      </w:pPr>
    </w:p>
    <w:p w14:paraId="1B918EBC" w14:textId="77777777" w:rsidR="00211225" w:rsidRPr="00FF6F16" w:rsidRDefault="00211225" w:rsidP="003F35BA">
      <w:pPr>
        <w:jc w:val="center"/>
      </w:pPr>
    </w:p>
    <w:p w14:paraId="7943172F" w14:textId="77777777" w:rsidR="00C13CA4" w:rsidRPr="00FF6F16" w:rsidRDefault="00C13CA4" w:rsidP="003F35BA">
      <w:pPr>
        <w:jc w:val="center"/>
      </w:pPr>
    </w:p>
    <w:p w14:paraId="4D23B944" w14:textId="48E8870B" w:rsidR="003F35BA" w:rsidRPr="00FF6F16" w:rsidRDefault="003F35BA" w:rsidP="003F35BA">
      <w:pPr>
        <w:jc w:val="center"/>
      </w:pPr>
      <w:r w:rsidRPr="00FF6F16">
        <w:rPr>
          <w:rFonts w:hint="eastAsia"/>
        </w:rPr>
        <w:lastRenderedPageBreak/>
        <w:t>公共建築物における木造率等の目標について</w:t>
      </w:r>
    </w:p>
    <w:p w14:paraId="6E87478F" w14:textId="77777777" w:rsidR="00EF04D1" w:rsidRPr="00FF6F16" w:rsidRDefault="00EF04D1" w:rsidP="003F35BA">
      <w:pPr>
        <w:jc w:val="center"/>
      </w:pPr>
    </w:p>
    <w:p w14:paraId="56D11B54" w14:textId="77777777" w:rsidR="003F35BA" w:rsidRPr="00FF6F16" w:rsidRDefault="003F35BA" w:rsidP="003F35BA">
      <w:pPr>
        <w:jc w:val="right"/>
      </w:pPr>
      <w:r w:rsidRPr="00FF6F16">
        <w:rPr>
          <w:rFonts w:hint="eastAsia"/>
        </w:rPr>
        <w:t xml:space="preserve">平成２４年１月１１日　</w:t>
      </w:r>
      <w:r w:rsidRPr="00FF6F16">
        <w:t xml:space="preserve">　</w:t>
      </w:r>
      <w:r w:rsidRPr="00FF6F16">
        <w:rPr>
          <w:rFonts w:hint="eastAsia"/>
        </w:rPr>
        <w:t>策定</w:t>
      </w:r>
    </w:p>
    <w:p w14:paraId="2F125263" w14:textId="77777777" w:rsidR="003F35BA" w:rsidRPr="00FF6F16" w:rsidRDefault="003F35BA" w:rsidP="003F35BA">
      <w:pPr>
        <w:jc w:val="right"/>
      </w:pPr>
      <w:r w:rsidRPr="00FF6F16">
        <w:rPr>
          <w:rFonts w:hint="eastAsia"/>
        </w:rPr>
        <w:t>令和　６年　月　　日一部改正</w:t>
      </w:r>
    </w:p>
    <w:p w14:paraId="6CEF76E1" w14:textId="7A2CC35B" w:rsidR="003F35BA" w:rsidRPr="00FF6F16" w:rsidRDefault="003F35BA" w:rsidP="003F35BA">
      <w:r w:rsidRPr="00FF6F16">
        <w:rPr>
          <w:rFonts w:hint="eastAsia"/>
        </w:rPr>
        <w:t xml:space="preserve">　都城市</w:t>
      </w:r>
      <w:r w:rsidR="00752CDC" w:rsidRPr="00FF6F16">
        <w:rPr>
          <w:rFonts w:hint="eastAsia"/>
        </w:rPr>
        <w:t>における</w:t>
      </w:r>
      <w:r w:rsidRPr="00FF6F16">
        <w:rPr>
          <w:rFonts w:hint="eastAsia"/>
        </w:rPr>
        <w:t>木材利用の促進に関する方針の３（</w:t>
      </w:r>
      <w:r w:rsidR="00223241" w:rsidRPr="00FF6F16">
        <w:rPr>
          <w:rFonts w:hint="eastAsia"/>
        </w:rPr>
        <w:t>３</w:t>
      </w:r>
      <w:r w:rsidRPr="00FF6F16">
        <w:rPr>
          <w:rFonts w:hint="eastAsia"/>
        </w:rPr>
        <w:t>）で定める公共建築物</w:t>
      </w:r>
      <w:r w:rsidR="00211225" w:rsidRPr="00FF6F16">
        <w:rPr>
          <w:rFonts w:hint="eastAsia"/>
        </w:rPr>
        <w:t>の</w:t>
      </w:r>
      <w:r w:rsidRPr="00FF6F16">
        <w:rPr>
          <w:rFonts w:hint="eastAsia"/>
        </w:rPr>
        <w:t>木造率等の目標については、下記のとおりとする。</w:t>
      </w:r>
    </w:p>
    <w:p w14:paraId="39B08A8D" w14:textId="77777777" w:rsidR="003F35BA" w:rsidRPr="00FF6F16" w:rsidRDefault="003F35BA" w:rsidP="003F35BA"/>
    <w:p w14:paraId="44C023F5" w14:textId="77777777" w:rsidR="003F35BA" w:rsidRPr="00FF6F16" w:rsidRDefault="003F35BA" w:rsidP="003F35BA">
      <w:r w:rsidRPr="00FF6F16">
        <w:rPr>
          <w:noProof/>
        </w:rPr>
        <mc:AlternateContent>
          <mc:Choice Requires="wps">
            <w:drawing>
              <wp:anchor distT="0" distB="0" distL="114300" distR="114300" simplePos="0" relativeHeight="251659264" behindDoc="0" locked="0" layoutInCell="1" allowOverlap="1" wp14:anchorId="2DE84A40" wp14:editId="43753485">
                <wp:simplePos x="0" y="0"/>
                <wp:positionH relativeFrom="column">
                  <wp:posOffset>1500505</wp:posOffset>
                </wp:positionH>
                <wp:positionV relativeFrom="paragraph">
                  <wp:posOffset>918845</wp:posOffset>
                </wp:positionV>
                <wp:extent cx="2715260" cy="34480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715260" cy="344805"/>
                        </a:xfrm>
                        <a:prstGeom prst="rect">
                          <a:avLst/>
                        </a:prstGeom>
                        <a:noFill/>
                        <a:ln w="6350">
                          <a:noFill/>
                        </a:ln>
                        <a:effectLst/>
                      </wps:spPr>
                      <wps:txbx>
                        <w:txbxContent>
                          <w:p w14:paraId="35781B30" w14:textId="77777777" w:rsidR="003F35BA" w:rsidRPr="002132C8" w:rsidRDefault="003F35BA" w:rsidP="003F35BA">
                            <w:pPr>
                              <w:rPr>
                                <w:color w:val="FF0000"/>
                              </w:rPr>
                            </w:pPr>
                            <w:r w:rsidRPr="00836234">
                              <w:rPr>
                                <w:rFonts w:asciiTheme="majorEastAsia" w:eastAsiaTheme="majorEastAsia" w:hAnsiTheme="majorEastAsia" w:hint="eastAsia"/>
                                <w:sz w:val="22"/>
                              </w:rPr>
                              <w:t>下記のうち、木造の床面積の合計（㎡）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D00C7" id="_x0000_t202" coordsize="21600,21600" o:spt="202" path="m,l,21600r21600,l21600,xe">
                <v:stroke joinstyle="miter"/>
                <v:path gradientshapeok="t" o:connecttype="rect"/>
              </v:shapetype>
              <v:shape id="テキスト ボックス 16" o:spid="_x0000_s1026" type="#_x0000_t202" style="position:absolute;left:0;text-align:left;margin-left:118.15pt;margin-top:72.35pt;width:213.8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" filled="f" stroked="f" strokeweight=".5pt">
                <v:textbox>
                  <w:txbxContent>
                    <w:p w:rsidR="003F35BA" w:rsidRPr="002132C8" w:rsidRDefault="003F35BA" w:rsidP="003F35BA">
                      <w:pPr>
                        <w:rPr>
                          <w:color w:val="FF0000"/>
                        </w:rPr>
                      </w:pPr>
                      <w:r w:rsidRPr="00836234">
                        <w:rPr>
                          <w:rFonts w:asciiTheme="majorEastAsia" w:eastAsiaTheme="majorEastAsia" w:hAnsiTheme="majorEastAsia" w:hint="eastAsia"/>
                          <w:sz w:val="22"/>
                        </w:rPr>
                        <w:t>下記のうち、木造の床面積の合計（㎡）</w:t>
                      </w:r>
                    </w:p>
                  </w:txbxContent>
                </v:textbox>
              </v:shape>
            </w:pict>
          </mc:Fallback>
        </mc:AlternateContent>
      </w:r>
      <w:r w:rsidRPr="00FF6F16">
        <w:rPr>
          <w:rFonts w:hint="eastAsia"/>
        </w:rPr>
        <w:t>①　公共建築物の木造率を現状より５０％向上させる。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960"/>
        <w:gridCol w:w="2961"/>
      </w:tblGrid>
      <w:tr w:rsidR="00FF6F16" w:rsidRPr="00FF6F16" w14:paraId="0EF7ED05" w14:textId="77777777" w:rsidTr="00DD048B">
        <w:tc>
          <w:tcPr>
            <w:tcW w:w="2438" w:type="dxa"/>
            <w:tcBorders>
              <w:tl2br w:val="single" w:sz="4" w:space="0" w:color="auto"/>
            </w:tcBorders>
          </w:tcPr>
          <w:p w14:paraId="1A303497" w14:textId="77777777" w:rsidR="003F35BA" w:rsidRPr="00FF6F16" w:rsidRDefault="003F35BA" w:rsidP="003F35BA"/>
        </w:tc>
        <w:tc>
          <w:tcPr>
            <w:tcW w:w="2960" w:type="dxa"/>
          </w:tcPr>
          <w:p w14:paraId="465E3C61" w14:textId="77777777" w:rsidR="003F35BA" w:rsidRPr="00FF6F16" w:rsidRDefault="003F35BA" w:rsidP="003F35BA">
            <w:r w:rsidRPr="00FF6F16">
              <w:rPr>
                <w:rFonts w:hint="eastAsia"/>
              </w:rPr>
              <w:t>現　状</w:t>
            </w:r>
          </w:p>
          <w:p w14:paraId="283F1F92" w14:textId="77777777" w:rsidR="003F35BA" w:rsidRPr="00FF6F16" w:rsidRDefault="003F35BA" w:rsidP="003F35BA">
            <w:r w:rsidRPr="00FF6F16">
              <w:rPr>
                <w:rFonts w:hint="eastAsia"/>
              </w:rPr>
              <w:t>（令和５年度）</w:t>
            </w:r>
          </w:p>
        </w:tc>
        <w:tc>
          <w:tcPr>
            <w:tcW w:w="2961" w:type="dxa"/>
          </w:tcPr>
          <w:p w14:paraId="18AADEB6" w14:textId="77777777" w:rsidR="003F35BA" w:rsidRPr="00FF6F16" w:rsidRDefault="003F35BA" w:rsidP="003F35BA">
            <w:r w:rsidRPr="00FF6F16">
              <w:rPr>
                <w:rFonts w:hint="eastAsia"/>
              </w:rPr>
              <w:t>目標値</w:t>
            </w:r>
          </w:p>
          <w:p w14:paraId="6E2EA835" w14:textId="77777777" w:rsidR="003F35BA" w:rsidRPr="00FF6F16" w:rsidRDefault="003F35BA" w:rsidP="003F35BA">
            <w:r w:rsidRPr="00FF6F16">
              <w:rPr>
                <w:rFonts w:hint="eastAsia"/>
              </w:rPr>
              <w:t>（令和１５年度）</w:t>
            </w:r>
          </w:p>
        </w:tc>
      </w:tr>
      <w:tr w:rsidR="00FF6F16" w:rsidRPr="00FF6F16" w14:paraId="3645B32B" w14:textId="77777777" w:rsidTr="00DD048B">
        <w:tc>
          <w:tcPr>
            <w:tcW w:w="2438" w:type="dxa"/>
          </w:tcPr>
          <w:p w14:paraId="584CA4B8" w14:textId="77777777" w:rsidR="003F35BA" w:rsidRPr="00FF6F16" w:rsidRDefault="003F35BA" w:rsidP="003F35BA">
            <w:r w:rsidRPr="00FF6F16">
              <w:rPr>
                <w:rFonts w:hint="eastAsia"/>
              </w:rPr>
              <w:t>木造率</w:t>
            </w:r>
            <w:r w:rsidRPr="00FF6F16">
              <w:rPr>
                <w:rFonts w:hint="eastAsia"/>
              </w:rPr>
              <w:t>(</w:t>
            </w:r>
            <w:r w:rsidRPr="00FF6F16">
              <w:rPr>
                <w:rFonts w:hint="eastAsia"/>
              </w:rPr>
              <w:t>床面積ベース）</w:t>
            </w:r>
          </w:p>
        </w:tc>
        <w:tc>
          <w:tcPr>
            <w:tcW w:w="2960" w:type="dxa"/>
          </w:tcPr>
          <w:p w14:paraId="0F5800C3" w14:textId="77777777" w:rsidR="003F35BA" w:rsidRPr="00FF6F16" w:rsidRDefault="003F35BA" w:rsidP="003F35BA">
            <w:r w:rsidRPr="00FF6F16">
              <w:rPr>
                <w:rFonts w:hint="eastAsia"/>
              </w:rPr>
              <w:t>７．５％</w:t>
            </w:r>
          </w:p>
        </w:tc>
        <w:tc>
          <w:tcPr>
            <w:tcW w:w="2961" w:type="dxa"/>
          </w:tcPr>
          <w:p w14:paraId="3E21EB1E" w14:textId="77777777" w:rsidR="003F35BA" w:rsidRPr="00FF6F16" w:rsidRDefault="003F35BA" w:rsidP="003F35BA">
            <w:r w:rsidRPr="00FF6F16">
              <w:rPr>
                <w:rFonts w:hint="eastAsia"/>
              </w:rPr>
              <w:t>１１．３％</w:t>
            </w:r>
          </w:p>
        </w:tc>
      </w:tr>
    </w:tbl>
    <w:p w14:paraId="2AF74739" w14:textId="77777777" w:rsidR="003F35BA" w:rsidRPr="00FF6F16" w:rsidRDefault="00924686" w:rsidP="003F35BA">
      <w:r w:rsidRPr="00FF6F16">
        <w:rPr>
          <w:rFonts w:asciiTheme="majorEastAsia" w:eastAsiaTheme="majorEastAsia" w:hAnsiTheme="majorEastAsia" w:cs="Times New Roman"/>
          <w:noProof/>
          <w:sz w:val="22"/>
        </w:rPr>
        <mc:AlternateContent>
          <mc:Choice Requires="wps">
            <w:drawing>
              <wp:anchor distT="0" distB="0" distL="114300" distR="114300" simplePos="0" relativeHeight="251663360" behindDoc="0" locked="0" layoutInCell="1" allowOverlap="1" wp14:anchorId="026C9FCC" wp14:editId="1C3B018B">
                <wp:simplePos x="0" y="0"/>
                <wp:positionH relativeFrom="margin">
                  <wp:align>left</wp:align>
                </wp:positionH>
                <wp:positionV relativeFrom="paragraph">
                  <wp:posOffset>104140</wp:posOffset>
                </wp:positionV>
                <wp:extent cx="1696720" cy="2768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96720" cy="276860"/>
                        </a:xfrm>
                        <a:prstGeom prst="rect">
                          <a:avLst/>
                        </a:prstGeom>
                        <a:noFill/>
                        <a:ln w="6350">
                          <a:noFill/>
                        </a:ln>
                        <a:effectLst/>
                      </wps:spPr>
                      <wps:txbx>
                        <w:txbxContent>
                          <w:p w14:paraId="36B23DC7" w14:textId="77777777" w:rsidR="00924686" w:rsidRPr="00836234" w:rsidRDefault="00924686" w:rsidP="00924686">
                            <w:r w:rsidRPr="00836234">
                              <w:rPr>
                                <w:rFonts w:asciiTheme="majorEastAsia" w:eastAsiaTheme="majorEastAsia" w:hAnsiTheme="majorEastAsia" w:hint="eastAsia"/>
                                <w:sz w:val="22"/>
                              </w:rPr>
                              <w:t>※</w:t>
                            </w:r>
                            <w:r>
                              <w:rPr>
                                <w:rFonts w:asciiTheme="majorEastAsia" w:eastAsiaTheme="majorEastAsia" w:hAnsiTheme="majorEastAsia" w:hint="eastAsia"/>
                                <w:sz w:val="22"/>
                              </w:rPr>
                              <w:t>公共建築物</w:t>
                            </w:r>
                            <w:r w:rsidRPr="00836234">
                              <w:rPr>
                                <w:rFonts w:asciiTheme="majorEastAsia" w:eastAsiaTheme="majorEastAsia" w:hAnsiTheme="majorEastAsia" w:hint="eastAsia"/>
                                <w:sz w:val="22"/>
                              </w:rPr>
                              <w:t>木造率</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D5B9C" id="テキスト ボックス 1" o:spid="_x0000_s1027" type="#_x0000_t202" style="position:absolute;left:0;text-align:left;margin-left:0;margin-top:8.2pt;width:133.6pt;height:21.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" filled="f" stroked="f" strokeweight=".5pt">
                <v:textbox>
                  <w:txbxContent>
                    <w:p w:rsidR="00924686" w:rsidRPr="00836234" w:rsidRDefault="00924686" w:rsidP="00924686">
                      <w:r w:rsidRPr="00836234">
                        <w:rPr>
                          <w:rFonts w:asciiTheme="majorEastAsia" w:eastAsiaTheme="majorEastAsia" w:hAnsiTheme="majorEastAsia" w:hint="eastAsia"/>
                          <w:sz w:val="22"/>
                        </w:rPr>
                        <w:t>※</w:t>
                      </w:r>
                      <w:r>
                        <w:rPr>
                          <w:rFonts w:asciiTheme="majorEastAsia" w:eastAsiaTheme="majorEastAsia" w:hAnsiTheme="majorEastAsia" w:hint="eastAsia"/>
                          <w:sz w:val="22"/>
                        </w:rPr>
                        <w:t>公共建築物</w:t>
                      </w:r>
                      <w:r w:rsidRPr="00836234">
                        <w:rPr>
                          <w:rFonts w:asciiTheme="majorEastAsia" w:eastAsiaTheme="majorEastAsia" w:hAnsiTheme="majorEastAsia" w:hint="eastAsia"/>
                          <w:sz w:val="22"/>
                        </w:rPr>
                        <w:t>木造率</w:t>
                      </w:r>
                      <w:r>
                        <w:rPr>
                          <w:rFonts w:asciiTheme="majorEastAsia" w:eastAsiaTheme="majorEastAsia" w:hAnsiTheme="majorEastAsia" w:hint="eastAsia"/>
                          <w:sz w:val="22"/>
                        </w:rPr>
                        <w:t>＝</w:t>
                      </w:r>
                    </w:p>
                  </w:txbxContent>
                </v:textbox>
                <w10:wrap anchorx="margin"/>
              </v:shape>
            </w:pict>
          </mc:Fallback>
        </mc:AlternateContent>
      </w:r>
      <w:r w:rsidR="003F35BA" w:rsidRPr="00FF6F16">
        <w:rPr>
          <w:noProof/>
        </w:rPr>
        <mc:AlternateContent>
          <mc:Choice Requires="wps">
            <w:drawing>
              <wp:anchor distT="0" distB="0" distL="114300" distR="114300" simplePos="0" relativeHeight="251661312" behindDoc="0" locked="0" layoutInCell="1" allowOverlap="1" wp14:anchorId="1EB70053" wp14:editId="6D943DED">
                <wp:simplePos x="0" y="0"/>
                <wp:positionH relativeFrom="column">
                  <wp:posOffset>1519555</wp:posOffset>
                </wp:positionH>
                <wp:positionV relativeFrom="paragraph">
                  <wp:posOffset>185420</wp:posOffset>
                </wp:positionV>
                <wp:extent cx="2694305" cy="361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94305" cy="361950"/>
                        </a:xfrm>
                        <a:prstGeom prst="rect">
                          <a:avLst/>
                        </a:prstGeom>
                        <a:noFill/>
                        <a:ln w="6350">
                          <a:noFill/>
                        </a:ln>
                        <a:effectLst/>
                      </wps:spPr>
                      <wps:txbx>
                        <w:txbxContent>
                          <w:p w14:paraId="56FEFA19" w14:textId="77777777" w:rsidR="003F35BA" w:rsidRPr="00836234" w:rsidRDefault="003F35BA" w:rsidP="003F35BA">
                            <w:r w:rsidRPr="00836234">
                              <w:rPr>
                                <w:rFonts w:asciiTheme="majorEastAsia" w:eastAsiaTheme="majorEastAsia" w:hAnsiTheme="majorEastAsia" w:hint="eastAsia"/>
                                <w:sz w:val="22"/>
                              </w:rPr>
                              <w:t xml:space="preserve">新築・増築・改築床面積の合計 </w:t>
                            </w:r>
                            <w:r w:rsidRPr="00836234">
                              <w:rPr>
                                <w:rFonts w:asciiTheme="majorEastAsia" w:eastAsiaTheme="majorEastAsia" w:hAnsiTheme="majorEastAsia"/>
                                <w:sz w:val="22"/>
                              </w:rPr>
                              <w:t xml:space="preserve"> </w:t>
                            </w:r>
                            <w:r w:rsidRPr="00836234">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696A6" id="テキスト ボックス 18" o:spid="_x0000_s1028" type="#_x0000_t202" style="position:absolute;left:0;text-align:left;margin-left:119.65pt;margin-top:14.6pt;width:212.1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" filled="f" stroked="f" strokeweight=".5pt">
                <v:textbox>
                  <w:txbxContent>
                    <w:p w:rsidR="003F35BA" w:rsidRPr="00836234" w:rsidRDefault="003F35BA" w:rsidP="003F35BA">
                      <w:r w:rsidRPr="00836234">
                        <w:rPr>
                          <w:rFonts w:asciiTheme="majorEastAsia" w:eastAsiaTheme="majorEastAsia" w:hAnsiTheme="majorEastAsia" w:hint="eastAsia"/>
                          <w:sz w:val="22"/>
                        </w:rPr>
                        <w:t xml:space="preserve">新築・増築・改築床面積の合計 </w:t>
                      </w:r>
                      <w:r w:rsidRPr="00836234">
                        <w:rPr>
                          <w:rFonts w:asciiTheme="majorEastAsia" w:eastAsiaTheme="majorEastAsia" w:hAnsiTheme="majorEastAsia"/>
                          <w:sz w:val="22"/>
                        </w:rPr>
                        <w:t xml:space="preserve"> </w:t>
                      </w:r>
                      <w:r w:rsidRPr="00836234">
                        <w:rPr>
                          <w:rFonts w:asciiTheme="majorEastAsia" w:eastAsiaTheme="majorEastAsia" w:hAnsiTheme="majorEastAsia" w:hint="eastAsia"/>
                          <w:sz w:val="22"/>
                        </w:rPr>
                        <w:t>（㎡）</w:t>
                      </w:r>
                    </w:p>
                  </w:txbxContent>
                </v:textbox>
              </v:shape>
            </w:pict>
          </mc:Fallback>
        </mc:AlternateContent>
      </w:r>
    </w:p>
    <w:p w14:paraId="6B741DF0" w14:textId="77777777" w:rsidR="003F35BA" w:rsidRPr="00FF6F16" w:rsidRDefault="003F35BA" w:rsidP="003F35BA">
      <w:r w:rsidRPr="00FF6F16">
        <w:rPr>
          <w:noProof/>
        </w:rPr>
        <mc:AlternateContent>
          <mc:Choice Requires="wps">
            <w:drawing>
              <wp:anchor distT="0" distB="0" distL="114300" distR="114300" simplePos="0" relativeHeight="251660288" behindDoc="0" locked="0" layoutInCell="1" allowOverlap="1" wp14:anchorId="6B189BC4" wp14:editId="2A1C92FC">
                <wp:simplePos x="0" y="0"/>
                <wp:positionH relativeFrom="column">
                  <wp:posOffset>1517015</wp:posOffset>
                </wp:positionH>
                <wp:positionV relativeFrom="paragraph">
                  <wp:posOffset>27940</wp:posOffset>
                </wp:positionV>
                <wp:extent cx="2664000" cy="0"/>
                <wp:effectExtent l="0" t="0" r="22225" b="19050"/>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72B42" id="_x0000_t32" coordsize="21600,21600" o:spt="32" o:oned="t" path="m,l21600,21600e" filled="f">
                <v:path arrowok="t" fillok="f" o:connecttype="none"/>
                <o:lock v:ext="edit" shapetype="t"/>
              </v:shapetype>
              <v:shape id="直線矢印コネクタ 17" o:spid="_x0000_s1026" type="#_x0000_t32" style="position:absolute;left:0;text-align:left;margin-left:119.45pt;margin-top:2.2pt;width:20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"/>
            </w:pict>
          </mc:Fallback>
        </mc:AlternateContent>
      </w:r>
    </w:p>
    <w:p w14:paraId="60AD5DEC" w14:textId="77777777" w:rsidR="003F35BA" w:rsidRPr="00FF6F16" w:rsidRDefault="003F35BA" w:rsidP="003F35BA">
      <w:r w:rsidRPr="00FF6F16">
        <w:rPr>
          <w:rFonts w:hint="eastAsia"/>
        </w:rPr>
        <w:t>・</w:t>
      </w:r>
      <w:r w:rsidRPr="00FF6F16">
        <w:t>現状の木造率については、</w:t>
      </w:r>
      <w:r w:rsidRPr="00FF6F16">
        <w:rPr>
          <w:rFonts w:hint="eastAsia"/>
        </w:rPr>
        <w:t>R2</w:t>
      </w:r>
      <w:r w:rsidRPr="00FF6F16">
        <w:rPr>
          <w:rFonts w:hint="eastAsia"/>
        </w:rPr>
        <w:t>～</w:t>
      </w:r>
      <w:r w:rsidRPr="00FF6F16">
        <w:rPr>
          <w:rFonts w:hint="eastAsia"/>
        </w:rPr>
        <w:t>R5</w:t>
      </w:r>
      <w:r w:rsidRPr="00FF6F16">
        <w:rPr>
          <w:rFonts w:hint="eastAsia"/>
        </w:rPr>
        <w:t>年度</w:t>
      </w:r>
      <w:r w:rsidRPr="00FF6F16">
        <w:t>の</w:t>
      </w:r>
      <w:r w:rsidRPr="00FF6F16">
        <w:rPr>
          <w:rFonts w:hint="eastAsia"/>
        </w:rPr>
        <w:t>4</w:t>
      </w:r>
      <w:r w:rsidRPr="00FF6F16">
        <w:rPr>
          <w:rFonts w:hint="eastAsia"/>
        </w:rPr>
        <w:t>ヶ</w:t>
      </w:r>
      <w:r w:rsidRPr="00FF6F16">
        <w:t>年平均値</w:t>
      </w:r>
      <w:r w:rsidRPr="00FF6F16">
        <w:rPr>
          <w:rFonts w:hint="eastAsia"/>
        </w:rPr>
        <w:t>（</w:t>
      </w:r>
      <w:r w:rsidRPr="00FF6F16">
        <w:t>住宅施設</w:t>
      </w:r>
      <w:r w:rsidRPr="00FF6F16">
        <w:rPr>
          <w:rFonts w:hint="eastAsia"/>
        </w:rPr>
        <w:t>課</w:t>
      </w:r>
      <w:r w:rsidRPr="00FF6F16">
        <w:t>提供）</w:t>
      </w:r>
    </w:p>
    <w:p w14:paraId="75F90990" w14:textId="77777777" w:rsidR="003F35BA" w:rsidRPr="00FF6F16" w:rsidRDefault="003F35BA" w:rsidP="003F35BA"/>
    <w:p w14:paraId="6DF0C98D" w14:textId="77777777" w:rsidR="003F35BA" w:rsidRPr="00FF6F16" w:rsidRDefault="003F35BA" w:rsidP="003F35BA">
      <w:r w:rsidRPr="00FF6F16">
        <w:rPr>
          <w:rFonts w:hint="eastAsia"/>
        </w:rPr>
        <w:t>②公共建築物の単位面積当たりの地元産材使用量</w:t>
      </w:r>
    </w:p>
    <w:p w14:paraId="49712A52" w14:textId="77777777" w:rsidR="003F35BA" w:rsidRPr="00FF6F16" w:rsidRDefault="003F35BA" w:rsidP="003F35BA">
      <w:r w:rsidRPr="00FF6F16">
        <w:rPr>
          <w:rFonts w:hint="eastAsia"/>
        </w:rPr>
        <w:t xml:space="preserve">　　　　　　　　　　　　　　　　　　　（改修等を除く）（単位：㎥／㎡）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134"/>
        <w:gridCol w:w="2977"/>
        <w:gridCol w:w="1134"/>
      </w:tblGrid>
      <w:tr w:rsidR="00FF6F16" w:rsidRPr="00FF6F16" w14:paraId="0D05D82B" w14:textId="77777777" w:rsidTr="00DD048B">
        <w:tc>
          <w:tcPr>
            <w:tcW w:w="4219" w:type="dxa"/>
            <w:gridSpan w:val="2"/>
          </w:tcPr>
          <w:p w14:paraId="15716E9F" w14:textId="77777777" w:rsidR="003F35BA" w:rsidRPr="00FF6F16" w:rsidRDefault="003F35BA" w:rsidP="003F35BA">
            <w:r w:rsidRPr="00FF6F16">
              <w:rPr>
                <w:rFonts w:hint="eastAsia"/>
              </w:rPr>
              <w:t>木造施設</w:t>
            </w:r>
          </w:p>
        </w:tc>
        <w:tc>
          <w:tcPr>
            <w:tcW w:w="4111" w:type="dxa"/>
            <w:gridSpan w:val="2"/>
          </w:tcPr>
          <w:p w14:paraId="3BAD93A4" w14:textId="77777777" w:rsidR="003F35BA" w:rsidRPr="00FF6F16" w:rsidRDefault="003F35BA" w:rsidP="003F35BA">
            <w:r w:rsidRPr="00FF6F16">
              <w:rPr>
                <w:rFonts w:hint="eastAsia"/>
              </w:rPr>
              <w:t>非木造施設（内装木質化）</w:t>
            </w:r>
          </w:p>
        </w:tc>
      </w:tr>
      <w:tr w:rsidR="00FF6F16" w:rsidRPr="00FF6F16" w14:paraId="63790120" w14:textId="77777777" w:rsidTr="00DD048B">
        <w:tc>
          <w:tcPr>
            <w:tcW w:w="3085" w:type="dxa"/>
          </w:tcPr>
          <w:p w14:paraId="34429814" w14:textId="77777777" w:rsidR="003F35BA" w:rsidRPr="00FF6F16" w:rsidRDefault="003F35BA" w:rsidP="003F35BA">
            <w:r w:rsidRPr="00FF6F16">
              <w:rPr>
                <w:rFonts w:hint="eastAsia"/>
              </w:rPr>
              <w:t>用　　途</w:t>
            </w:r>
          </w:p>
        </w:tc>
        <w:tc>
          <w:tcPr>
            <w:tcW w:w="1134" w:type="dxa"/>
          </w:tcPr>
          <w:p w14:paraId="79D1026A" w14:textId="77777777" w:rsidR="003F35BA" w:rsidRPr="00FF6F16" w:rsidRDefault="003F35BA" w:rsidP="003F35BA">
            <w:r w:rsidRPr="00FF6F16">
              <w:rPr>
                <w:rFonts w:hint="eastAsia"/>
              </w:rPr>
              <w:t>目標値</w:t>
            </w:r>
          </w:p>
        </w:tc>
        <w:tc>
          <w:tcPr>
            <w:tcW w:w="2977" w:type="dxa"/>
          </w:tcPr>
          <w:p w14:paraId="6256A3D4" w14:textId="77777777" w:rsidR="003F35BA" w:rsidRPr="00FF6F16" w:rsidRDefault="003F35BA" w:rsidP="003F35BA">
            <w:r w:rsidRPr="00FF6F16">
              <w:rPr>
                <w:rFonts w:hint="eastAsia"/>
              </w:rPr>
              <w:t>用　　途</w:t>
            </w:r>
          </w:p>
        </w:tc>
        <w:tc>
          <w:tcPr>
            <w:tcW w:w="1134" w:type="dxa"/>
          </w:tcPr>
          <w:p w14:paraId="30D7D7A7" w14:textId="77777777" w:rsidR="003F35BA" w:rsidRPr="00FF6F16" w:rsidRDefault="003F35BA" w:rsidP="003F35BA">
            <w:r w:rsidRPr="00FF6F16">
              <w:rPr>
                <w:rFonts w:hint="eastAsia"/>
              </w:rPr>
              <w:t>目標値</w:t>
            </w:r>
          </w:p>
        </w:tc>
      </w:tr>
      <w:tr w:rsidR="00FF6F16" w:rsidRPr="00FF6F16" w14:paraId="7761DE56" w14:textId="77777777" w:rsidTr="00DD048B">
        <w:tc>
          <w:tcPr>
            <w:tcW w:w="3085" w:type="dxa"/>
          </w:tcPr>
          <w:p w14:paraId="342D1233" w14:textId="77777777" w:rsidR="003F35BA" w:rsidRPr="00FF6F16" w:rsidRDefault="003F35BA" w:rsidP="003F35BA">
            <w:r w:rsidRPr="00FF6F16">
              <w:rPr>
                <w:rFonts w:hint="eastAsia"/>
              </w:rPr>
              <w:t>倉庫、作業所、更衣室等比較的簡易な公共建築物</w:t>
            </w:r>
          </w:p>
        </w:tc>
        <w:tc>
          <w:tcPr>
            <w:tcW w:w="1134" w:type="dxa"/>
            <w:vAlign w:val="center"/>
          </w:tcPr>
          <w:p w14:paraId="402005BF" w14:textId="77777777" w:rsidR="003F35BA" w:rsidRPr="00FF6F16" w:rsidRDefault="003F35BA" w:rsidP="003F35BA">
            <w:r w:rsidRPr="00FF6F16">
              <w:rPr>
                <w:rFonts w:hint="eastAsia"/>
              </w:rPr>
              <w:t>０．０５</w:t>
            </w:r>
          </w:p>
        </w:tc>
        <w:tc>
          <w:tcPr>
            <w:tcW w:w="2977" w:type="dxa"/>
          </w:tcPr>
          <w:p w14:paraId="27893459" w14:textId="77777777" w:rsidR="003F35BA" w:rsidRPr="00FF6F16" w:rsidRDefault="003F35BA" w:rsidP="003F35BA">
            <w:r w:rsidRPr="00FF6F16">
              <w:rPr>
                <w:rFonts w:hint="eastAsia"/>
              </w:rPr>
              <w:t>倉庫、作業所、更衣室等比較的簡易な公共建築物</w:t>
            </w:r>
          </w:p>
        </w:tc>
        <w:tc>
          <w:tcPr>
            <w:tcW w:w="1134" w:type="dxa"/>
            <w:vAlign w:val="center"/>
          </w:tcPr>
          <w:p w14:paraId="55AA0A81" w14:textId="77777777" w:rsidR="003F35BA" w:rsidRPr="00FF6F16" w:rsidRDefault="003F35BA" w:rsidP="003F35BA">
            <w:r w:rsidRPr="00FF6F16">
              <w:rPr>
                <w:rFonts w:hint="eastAsia"/>
              </w:rPr>
              <w:t>０．０１</w:t>
            </w:r>
          </w:p>
        </w:tc>
      </w:tr>
      <w:tr w:rsidR="00FF6F16" w:rsidRPr="00FF6F16" w14:paraId="40F1B8D5" w14:textId="77777777" w:rsidTr="00DD048B">
        <w:tc>
          <w:tcPr>
            <w:tcW w:w="3085" w:type="dxa"/>
          </w:tcPr>
          <w:p w14:paraId="009B8388" w14:textId="77777777" w:rsidR="003F35BA" w:rsidRPr="00FF6F16" w:rsidRDefault="003F35BA" w:rsidP="003F35BA">
            <w:r w:rsidRPr="00FF6F16">
              <w:rPr>
                <w:rFonts w:hint="eastAsia"/>
              </w:rPr>
              <w:t>延床面積１，０００㎡以上の大規模な公共建築物</w:t>
            </w:r>
          </w:p>
        </w:tc>
        <w:tc>
          <w:tcPr>
            <w:tcW w:w="1134" w:type="dxa"/>
            <w:vAlign w:val="center"/>
          </w:tcPr>
          <w:p w14:paraId="6911964D" w14:textId="77777777" w:rsidR="003F35BA" w:rsidRPr="00FF6F16" w:rsidRDefault="003F35BA" w:rsidP="003F35BA">
            <w:r w:rsidRPr="00FF6F16">
              <w:rPr>
                <w:rFonts w:hint="eastAsia"/>
              </w:rPr>
              <w:t>０．１０</w:t>
            </w:r>
          </w:p>
        </w:tc>
        <w:tc>
          <w:tcPr>
            <w:tcW w:w="2977" w:type="dxa"/>
          </w:tcPr>
          <w:p w14:paraId="62BFF405" w14:textId="77777777" w:rsidR="003F35BA" w:rsidRPr="00FF6F16" w:rsidRDefault="003F35BA" w:rsidP="003F35BA">
            <w:r w:rsidRPr="00FF6F16">
              <w:rPr>
                <w:rFonts w:hint="eastAsia"/>
              </w:rPr>
              <w:t>庁舎（事務室）、学校校舎（教室）等</w:t>
            </w:r>
          </w:p>
        </w:tc>
        <w:tc>
          <w:tcPr>
            <w:tcW w:w="1134" w:type="dxa"/>
            <w:vAlign w:val="center"/>
          </w:tcPr>
          <w:p w14:paraId="79014645" w14:textId="77777777" w:rsidR="003F35BA" w:rsidRPr="00FF6F16" w:rsidRDefault="003F35BA" w:rsidP="003F35BA">
            <w:r w:rsidRPr="00FF6F16">
              <w:rPr>
                <w:rFonts w:hint="eastAsia"/>
              </w:rPr>
              <w:t>０．０２</w:t>
            </w:r>
          </w:p>
        </w:tc>
      </w:tr>
      <w:tr w:rsidR="00FF6F16" w:rsidRPr="00FF6F16" w14:paraId="3845B6C9" w14:textId="77777777" w:rsidTr="00DD048B">
        <w:tc>
          <w:tcPr>
            <w:tcW w:w="3085" w:type="dxa"/>
            <w:tcBorders>
              <w:bottom w:val="single" w:sz="4" w:space="0" w:color="auto"/>
            </w:tcBorders>
            <w:vAlign w:val="center"/>
          </w:tcPr>
          <w:p w14:paraId="144C8F49" w14:textId="77777777" w:rsidR="003F35BA" w:rsidRPr="00FF6F16" w:rsidRDefault="003F35BA" w:rsidP="003F35BA">
            <w:r w:rsidRPr="00FF6F16">
              <w:rPr>
                <w:rFonts w:hint="eastAsia"/>
              </w:rPr>
              <w:t>上記以外の公共建築物</w:t>
            </w:r>
          </w:p>
        </w:tc>
        <w:tc>
          <w:tcPr>
            <w:tcW w:w="1134" w:type="dxa"/>
            <w:tcBorders>
              <w:bottom w:val="single" w:sz="4" w:space="0" w:color="auto"/>
            </w:tcBorders>
            <w:vAlign w:val="center"/>
          </w:tcPr>
          <w:p w14:paraId="58219712" w14:textId="77777777" w:rsidR="003F35BA" w:rsidRPr="00FF6F16" w:rsidRDefault="003F35BA" w:rsidP="003F35BA">
            <w:r w:rsidRPr="00FF6F16">
              <w:rPr>
                <w:rFonts w:hint="eastAsia"/>
              </w:rPr>
              <w:t>０．２０</w:t>
            </w:r>
          </w:p>
        </w:tc>
        <w:tc>
          <w:tcPr>
            <w:tcW w:w="2977" w:type="dxa"/>
          </w:tcPr>
          <w:p w14:paraId="1BAD662F" w14:textId="77777777" w:rsidR="003F35BA" w:rsidRPr="00FF6F16" w:rsidRDefault="003F35BA" w:rsidP="003F35BA">
            <w:r w:rsidRPr="00FF6F16">
              <w:rPr>
                <w:rFonts w:hint="eastAsia"/>
              </w:rPr>
              <w:t>公営住宅や、市民への</w:t>
            </w:r>
            <w:r w:rsidRPr="00FF6F16">
              <w:rPr>
                <w:rFonts w:hint="eastAsia"/>
              </w:rPr>
              <w:t>PR</w:t>
            </w:r>
            <w:r w:rsidRPr="00FF6F16">
              <w:rPr>
                <w:rFonts w:hint="eastAsia"/>
              </w:rPr>
              <w:t>効果が高い公共建築物</w:t>
            </w:r>
          </w:p>
        </w:tc>
        <w:tc>
          <w:tcPr>
            <w:tcW w:w="1134" w:type="dxa"/>
            <w:vAlign w:val="center"/>
          </w:tcPr>
          <w:p w14:paraId="6635C7FA" w14:textId="77777777" w:rsidR="003F35BA" w:rsidRPr="00FF6F16" w:rsidRDefault="003F35BA" w:rsidP="003F35BA">
            <w:r w:rsidRPr="00FF6F16">
              <w:rPr>
                <w:rFonts w:hint="eastAsia"/>
              </w:rPr>
              <w:t>０．０４</w:t>
            </w:r>
          </w:p>
        </w:tc>
      </w:tr>
      <w:tr w:rsidR="00FF6F16" w:rsidRPr="00FF6F16" w14:paraId="13D9EE40" w14:textId="77777777" w:rsidTr="00DD048B">
        <w:trPr>
          <w:trHeight w:val="525"/>
        </w:trPr>
        <w:tc>
          <w:tcPr>
            <w:tcW w:w="4219" w:type="dxa"/>
            <w:gridSpan w:val="2"/>
            <w:tcBorders>
              <w:tl2br w:val="single" w:sz="4" w:space="0" w:color="auto"/>
            </w:tcBorders>
          </w:tcPr>
          <w:p w14:paraId="65820540" w14:textId="77777777" w:rsidR="003F35BA" w:rsidRPr="00FF6F16" w:rsidRDefault="003F35BA" w:rsidP="003F35BA"/>
        </w:tc>
        <w:tc>
          <w:tcPr>
            <w:tcW w:w="2977" w:type="dxa"/>
            <w:vAlign w:val="center"/>
          </w:tcPr>
          <w:p w14:paraId="481045FC" w14:textId="77777777" w:rsidR="003F35BA" w:rsidRPr="00FF6F16" w:rsidRDefault="003F35BA" w:rsidP="003F35BA">
            <w:r w:rsidRPr="00FF6F16">
              <w:rPr>
                <w:rFonts w:hint="eastAsia"/>
              </w:rPr>
              <w:t>上記以外の公共建築物</w:t>
            </w:r>
          </w:p>
        </w:tc>
        <w:tc>
          <w:tcPr>
            <w:tcW w:w="1134" w:type="dxa"/>
            <w:vAlign w:val="center"/>
          </w:tcPr>
          <w:p w14:paraId="3359B74E" w14:textId="77777777" w:rsidR="003F35BA" w:rsidRPr="00FF6F16" w:rsidRDefault="003F35BA" w:rsidP="003F35BA">
            <w:r w:rsidRPr="00FF6F16">
              <w:rPr>
                <w:rFonts w:hint="eastAsia"/>
              </w:rPr>
              <w:t>０．０２</w:t>
            </w:r>
          </w:p>
        </w:tc>
      </w:tr>
    </w:tbl>
    <w:p w14:paraId="2A95C898" w14:textId="77777777" w:rsidR="003F35BA" w:rsidRPr="00FF6F16" w:rsidRDefault="003F35BA" w:rsidP="003F35BA">
      <w:r w:rsidRPr="00FF6F16">
        <w:rPr>
          <w:rFonts w:hint="eastAsia"/>
        </w:rPr>
        <w:t>（数値の根拠）</w:t>
      </w:r>
    </w:p>
    <w:p w14:paraId="4F3D43AA" w14:textId="77777777" w:rsidR="003F35BA" w:rsidRPr="00FF6F16" w:rsidRDefault="003F35BA" w:rsidP="00A538DB">
      <w:pPr>
        <w:ind w:left="210" w:hangingChars="100" w:hanging="210"/>
      </w:pPr>
      <w:r w:rsidRPr="00FF6F16">
        <w:rPr>
          <w:rFonts w:hint="eastAsia"/>
        </w:rPr>
        <w:t>１）国土交通省が</w:t>
      </w:r>
      <w:r w:rsidRPr="00FF6F16">
        <w:rPr>
          <w:rFonts w:hint="eastAsia"/>
        </w:rPr>
        <w:t>3</w:t>
      </w:r>
      <w:r w:rsidRPr="00FF6F16">
        <w:rPr>
          <w:rFonts w:hint="eastAsia"/>
        </w:rPr>
        <w:t>年ごとに実施する「建設資材・労働力需要実態調査（平成</w:t>
      </w:r>
      <w:r w:rsidRPr="00FF6F16">
        <w:rPr>
          <w:rFonts w:hint="eastAsia"/>
        </w:rPr>
        <w:t>18</w:t>
      </w:r>
      <w:r w:rsidRPr="00FF6F16">
        <w:rPr>
          <w:rFonts w:hint="eastAsia"/>
        </w:rPr>
        <w:t>年度元単位）」の「表―</w:t>
      </w:r>
      <w:r w:rsidRPr="00FF6F16">
        <w:rPr>
          <w:rFonts w:hint="eastAsia"/>
        </w:rPr>
        <w:t>4</w:t>
      </w:r>
      <w:r w:rsidRPr="00FF6F16">
        <w:rPr>
          <w:rFonts w:hint="eastAsia"/>
        </w:rPr>
        <w:t xml:space="preserve">　建築着工統計区分（構造別）に対応する面積原単位（全国）」から、構造別の木材使用量の基礎データ（㎥／㎡）を算出。</w:t>
      </w:r>
    </w:p>
    <w:p w14:paraId="7C599F6E" w14:textId="77777777" w:rsidR="003F35BA" w:rsidRPr="00FF6F16" w:rsidRDefault="003F35BA" w:rsidP="00A538DB">
      <w:pPr>
        <w:ind w:firstLineChars="100" w:firstLine="210"/>
      </w:pPr>
      <w:r w:rsidRPr="00FF6F16">
        <w:rPr>
          <w:rFonts w:hint="eastAsia"/>
        </w:rPr>
        <w:t>木造施設：０．２２　　非木造施設（鉄骨鉄筋コンクリート造）：０．０１２</w:t>
      </w:r>
    </w:p>
    <w:p w14:paraId="15463487" w14:textId="77777777" w:rsidR="003F35BA" w:rsidRPr="00FF6F16" w:rsidRDefault="003F35BA" w:rsidP="00A538DB">
      <w:pPr>
        <w:ind w:left="210" w:hangingChars="100" w:hanging="210"/>
      </w:pPr>
      <w:r w:rsidRPr="00FF6F16">
        <w:rPr>
          <w:rFonts w:hint="eastAsia"/>
        </w:rPr>
        <w:t>２）木造施設については、基礎データを参考に目標値（０．２０）を設定した。ただし、壁や間仕切り、内装仕上げ等が少ない倉庫・作業所などや大規模建築物については、過去の実績等を考慮した。</w:t>
      </w:r>
    </w:p>
    <w:p w14:paraId="4159D25E" w14:textId="77777777" w:rsidR="003F35BA" w:rsidRPr="00FF6F16" w:rsidRDefault="003F35BA" w:rsidP="00A538DB">
      <w:pPr>
        <w:ind w:left="210" w:hangingChars="100" w:hanging="210"/>
      </w:pPr>
      <w:r w:rsidRPr="00FF6F16">
        <w:rPr>
          <w:rFonts w:hint="eastAsia"/>
        </w:rPr>
        <w:t>３）非木造施設については、内装木質化の充実を促すため、比較的簡易な公共建築物以外は基礎データの</w:t>
      </w:r>
      <w:r w:rsidRPr="00FF6F16">
        <w:rPr>
          <w:rFonts w:hint="eastAsia"/>
        </w:rPr>
        <w:t>2</w:t>
      </w:r>
      <w:r w:rsidRPr="00FF6F16">
        <w:rPr>
          <w:rFonts w:hint="eastAsia"/>
        </w:rPr>
        <w:t>倍（住宅等は３倍）を目標に設定。</w:t>
      </w:r>
    </w:p>
    <w:sectPr w:rsidR="003F35BA" w:rsidRPr="00FF6F16" w:rsidSect="00A538DB">
      <w:footerReference w:type="default" r:id="rId7"/>
      <w:pgSz w:w="11906" w:h="16838"/>
      <w:pgMar w:top="1701" w:right="1474" w:bottom="1134" w:left="158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81AC6" w14:textId="77777777" w:rsidR="00FC68FF" w:rsidRDefault="00FC68FF" w:rsidP="00072036">
      <w:r>
        <w:separator/>
      </w:r>
    </w:p>
  </w:endnote>
  <w:endnote w:type="continuationSeparator" w:id="0">
    <w:p w14:paraId="4DA356BF" w14:textId="77777777" w:rsidR="00FC68FF" w:rsidRDefault="00FC68FF" w:rsidP="0007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5493044"/>
      <w:docPartObj>
        <w:docPartGallery w:val="Page Numbers (Bottom of Page)"/>
        <w:docPartUnique/>
      </w:docPartObj>
    </w:sdtPr>
    <w:sdtEndPr/>
    <w:sdtContent>
      <w:p w14:paraId="5A2617B8" w14:textId="77777777" w:rsidR="00072036" w:rsidRDefault="00072036">
        <w:pPr>
          <w:pStyle w:val="a6"/>
          <w:jc w:val="center"/>
        </w:pPr>
        <w:r>
          <w:fldChar w:fldCharType="begin"/>
        </w:r>
        <w:r>
          <w:instrText>PAGE   \* MERGEFORMAT</w:instrText>
        </w:r>
        <w:r>
          <w:fldChar w:fldCharType="separate"/>
        </w:r>
        <w:r w:rsidR="00EF04D1" w:rsidRPr="00EF04D1">
          <w:rPr>
            <w:noProof/>
            <w:lang w:val="ja-JP"/>
          </w:rPr>
          <w:t>4</w:t>
        </w:r>
        <w:r>
          <w:fldChar w:fldCharType="end"/>
        </w:r>
      </w:p>
    </w:sdtContent>
  </w:sdt>
  <w:p w14:paraId="0268D746" w14:textId="77777777" w:rsidR="00072036" w:rsidRDefault="0007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BC06C" w14:textId="77777777" w:rsidR="00FC68FF" w:rsidRDefault="00FC68FF" w:rsidP="00072036">
      <w:r>
        <w:separator/>
      </w:r>
    </w:p>
  </w:footnote>
  <w:footnote w:type="continuationSeparator" w:id="0">
    <w:p w14:paraId="5642F0C1" w14:textId="77777777" w:rsidR="00FC68FF" w:rsidRDefault="00FC68FF" w:rsidP="00072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5BA"/>
    <w:rsid w:val="00024900"/>
    <w:rsid w:val="0003021B"/>
    <w:rsid w:val="00072036"/>
    <w:rsid w:val="000D44AA"/>
    <w:rsid w:val="000E23EA"/>
    <w:rsid w:val="001138B8"/>
    <w:rsid w:val="0011580F"/>
    <w:rsid w:val="001A3613"/>
    <w:rsid w:val="001D23F2"/>
    <w:rsid w:val="001D447F"/>
    <w:rsid w:val="00211225"/>
    <w:rsid w:val="00223241"/>
    <w:rsid w:val="0029425B"/>
    <w:rsid w:val="002F5E36"/>
    <w:rsid w:val="00352DED"/>
    <w:rsid w:val="003C06EB"/>
    <w:rsid w:val="003F0828"/>
    <w:rsid w:val="003F35BA"/>
    <w:rsid w:val="00403D41"/>
    <w:rsid w:val="0040776E"/>
    <w:rsid w:val="004B72DF"/>
    <w:rsid w:val="004C4704"/>
    <w:rsid w:val="00523B4A"/>
    <w:rsid w:val="005F0574"/>
    <w:rsid w:val="006C3178"/>
    <w:rsid w:val="00704ADE"/>
    <w:rsid w:val="00752CDC"/>
    <w:rsid w:val="00780138"/>
    <w:rsid w:val="007A434F"/>
    <w:rsid w:val="007C502B"/>
    <w:rsid w:val="0082663F"/>
    <w:rsid w:val="0084446E"/>
    <w:rsid w:val="008C3253"/>
    <w:rsid w:val="00924686"/>
    <w:rsid w:val="00951F4B"/>
    <w:rsid w:val="0095573F"/>
    <w:rsid w:val="00A3026F"/>
    <w:rsid w:val="00A538DB"/>
    <w:rsid w:val="00AF3A31"/>
    <w:rsid w:val="00AF61C7"/>
    <w:rsid w:val="00B817B8"/>
    <w:rsid w:val="00BF15D5"/>
    <w:rsid w:val="00C13CA4"/>
    <w:rsid w:val="00C36D18"/>
    <w:rsid w:val="00C61BB3"/>
    <w:rsid w:val="00C87656"/>
    <w:rsid w:val="00CC30C1"/>
    <w:rsid w:val="00D2740D"/>
    <w:rsid w:val="00D52960"/>
    <w:rsid w:val="00E0219C"/>
    <w:rsid w:val="00E1640F"/>
    <w:rsid w:val="00EE100F"/>
    <w:rsid w:val="00EF04D1"/>
    <w:rsid w:val="00F52B51"/>
    <w:rsid w:val="00FA2388"/>
    <w:rsid w:val="00FC68FF"/>
    <w:rsid w:val="00FC6D64"/>
    <w:rsid w:val="00FF6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A8BBC04"/>
  <w15:chartTrackingRefBased/>
  <w15:docId w15:val="{019F5BCD-F109-4A33-984D-2DB89CE01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2036"/>
    <w:pPr>
      <w:tabs>
        <w:tab w:val="center" w:pos="4252"/>
        <w:tab w:val="right" w:pos="8504"/>
      </w:tabs>
      <w:snapToGrid w:val="0"/>
    </w:pPr>
  </w:style>
  <w:style w:type="character" w:customStyle="1" w:styleId="a5">
    <w:name w:val="ヘッダー (文字)"/>
    <w:basedOn w:val="a0"/>
    <w:link w:val="a4"/>
    <w:uiPriority w:val="99"/>
    <w:rsid w:val="00072036"/>
  </w:style>
  <w:style w:type="paragraph" w:styleId="a6">
    <w:name w:val="footer"/>
    <w:basedOn w:val="a"/>
    <w:link w:val="a7"/>
    <w:uiPriority w:val="99"/>
    <w:unhideWhenUsed/>
    <w:rsid w:val="00072036"/>
    <w:pPr>
      <w:tabs>
        <w:tab w:val="center" w:pos="4252"/>
        <w:tab w:val="right" w:pos="8504"/>
      </w:tabs>
      <w:snapToGrid w:val="0"/>
    </w:pPr>
  </w:style>
  <w:style w:type="character" w:customStyle="1" w:styleId="a7">
    <w:name w:val="フッター (文字)"/>
    <w:basedOn w:val="a0"/>
    <w:link w:val="a6"/>
    <w:uiPriority w:val="99"/>
    <w:rsid w:val="00072036"/>
  </w:style>
  <w:style w:type="paragraph" w:styleId="a8">
    <w:name w:val="Balloon Text"/>
    <w:basedOn w:val="a"/>
    <w:link w:val="a9"/>
    <w:uiPriority w:val="99"/>
    <w:semiHidden/>
    <w:unhideWhenUsed/>
    <w:rsid w:val="000720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0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4C7FA-18B8-41C5-9776-6FABC9B21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628</Words>
  <Characters>3582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井ノ上　講平</dc:creator>
  <cp:keywords/>
  <dc:description/>
  <cp:lastModifiedBy>岩元　さやか</cp:lastModifiedBy>
  <cp:revision>24</cp:revision>
  <cp:lastPrinted>2024-10-08T01:26:00Z</cp:lastPrinted>
  <dcterms:created xsi:type="dcterms:W3CDTF">2024-09-19T03:20:00Z</dcterms:created>
  <dcterms:modified xsi:type="dcterms:W3CDTF">2024-11-11T05:20:00Z</dcterms:modified>
</cp:coreProperties>
</file>